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66C6F" w14:textId="77777777" w:rsidR="000E4F1C" w:rsidRDefault="000E4F1C" w:rsidP="000E4F1C">
      <w:pPr>
        <w:jc w:val="both"/>
        <w:rPr>
          <w:sz w:val="28"/>
        </w:rPr>
      </w:pPr>
    </w:p>
    <w:p w14:paraId="617A9A7D" w14:textId="77777777" w:rsidR="000E4F1C" w:rsidRDefault="000E4F1C" w:rsidP="000E4F1C">
      <w:pPr>
        <w:jc w:val="both"/>
        <w:rPr>
          <w:sz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4F1C" w:rsidRPr="00786450" w14:paraId="1D905B26" w14:textId="77777777" w:rsidTr="000E4F1C">
        <w:tc>
          <w:tcPr>
            <w:tcW w:w="9854" w:type="dxa"/>
          </w:tcPr>
          <w:p w14:paraId="3785A825" w14:textId="77777777" w:rsidR="000E4F1C" w:rsidRPr="00E12DAA" w:rsidRDefault="00EE3FBB" w:rsidP="00EE3FBB">
            <w:pPr>
              <w:jc w:val="right"/>
              <w:rPr>
                <w:rFonts w:ascii="Aileron Black" w:hAnsi="Aileron Black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ileron Black" w:hAnsi="Aileron Black"/>
                <w:b/>
                <w:color w:val="000000" w:themeColor="text1"/>
                <w:sz w:val="72"/>
                <w:szCs w:val="72"/>
              </w:rPr>
              <w:t>3</w:t>
            </w:r>
            <w:r w:rsidR="000E4F1C" w:rsidRPr="00E12DAA">
              <w:rPr>
                <w:rFonts w:ascii="Aileron Black" w:hAnsi="Aileron Black"/>
                <w:b/>
                <w:color w:val="000000" w:themeColor="text1"/>
                <w:sz w:val="72"/>
                <w:szCs w:val="72"/>
              </w:rPr>
              <w:t>.</w:t>
            </w:r>
            <w:r>
              <w:rPr>
                <w:rFonts w:ascii="Aileron Black" w:hAnsi="Aileron Black"/>
                <w:b/>
                <w:color w:val="000000" w:themeColor="text1"/>
                <w:sz w:val="72"/>
                <w:szCs w:val="72"/>
              </w:rPr>
              <w:t>commercio</w:t>
            </w:r>
            <w:r w:rsidR="000E4F1C" w:rsidRPr="00E12DAA">
              <w:rPr>
                <w:rFonts w:ascii="Aileron Black" w:hAnsi="Aileron Black"/>
                <w:b/>
                <w:color w:val="000000" w:themeColor="text1"/>
                <w:sz w:val="72"/>
                <w:szCs w:val="72"/>
              </w:rPr>
              <w:t>,</w:t>
            </w:r>
            <w:r w:rsidR="000E4F1C" w:rsidRPr="00E12DAA"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0E4F1C" w:rsidRPr="00E12DAA"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  <w:t xml:space="preserve">come </w:t>
            </w:r>
            <w:proofErr w:type="gramEnd"/>
            <w:r w:rsidR="000E4F1C" w:rsidRPr="00E12DAA"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  <w:t>è, come era, come sarà?</w:t>
            </w:r>
          </w:p>
        </w:tc>
      </w:tr>
      <w:tr w:rsidR="000E4F1C" w:rsidRPr="000E4F1C" w14:paraId="5F1068DD" w14:textId="77777777" w:rsidTr="000E4F1C">
        <w:tc>
          <w:tcPr>
            <w:tcW w:w="9854" w:type="dxa"/>
          </w:tcPr>
          <w:p w14:paraId="46059420" w14:textId="77777777" w:rsidR="000E4F1C" w:rsidRPr="00E12DAA" w:rsidRDefault="000E4F1C" w:rsidP="000E4F1C">
            <w:pPr>
              <w:jc w:val="right"/>
              <w:rPr>
                <w:rFonts w:ascii="Aileron Black" w:hAnsi="Aileron Black"/>
                <w:b/>
                <w:bCs/>
                <w:color w:val="595959" w:themeColor="text1" w:themeTint="A6"/>
                <w:sz w:val="48"/>
                <w:szCs w:val="48"/>
                <w:u w:val="single"/>
              </w:rPr>
            </w:pPr>
            <w:r w:rsidRPr="00E12DAA">
              <w:rPr>
                <w:rFonts w:ascii="Aileron Black" w:hAnsi="Aileron Black"/>
                <w:b/>
                <w:bCs/>
                <w:color w:val="595959" w:themeColor="text1" w:themeTint="A6"/>
                <w:sz w:val="48"/>
                <w:szCs w:val="48"/>
                <w:u w:val="single"/>
              </w:rPr>
              <w:t>Comunicato stampa</w:t>
            </w:r>
          </w:p>
        </w:tc>
      </w:tr>
    </w:tbl>
    <w:p w14:paraId="1393CCF1" w14:textId="77777777" w:rsidR="000E4F1C" w:rsidRDefault="000E4F1C" w:rsidP="000E4F1C">
      <w:pPr>
        <w:jc w:val="both"/>
        <w:rPr>
          <w:sz w:val="28"/>
        </w:rPr>
      </w:pPr>
    </w:p>
    <w:p w14:paraId="2829E72F" w14:textId="77777777" w:rsidR="00EE3FBB" w:rsidRPr="00683684" w:rsidRDefault="00683684" w:rsidP="00566E17">
      <w:pPr>
        <w:jc w:val="right"/>
        <w:rPr>
          <w:rFonts w:ascii="Aileron Black" w:hAnsi="Aileron Black"/>
          <w:b/>
          <w:bCs/>
          <w:color w:val="FF0000"/>
          <w:sz w:val="40"/>
          <w:szCs w:val="40"/>
        </w:rPr>
      </w:pPr>
      <w:r w:rsidRPr="00683684">
        <w:rPr>
          <w:rFonts w:ascii="Aileron Black" w:hAnsi="Aileron Black"/>
          <w:b/>
          <w:bCs/>
          <w:color w:val="FF0000"/>
          <w:sz w:val="40"/>
          <w:szCs w:val="40"/>
        </w:rPr>
        <w:t>Puglia: u</w:t>
      </w:r>
      <w:r w:rsidR="00566E17" w:rsidRPr="00683684">
        <w:rPr>
          <w:rFonts w:ascii="Aileron Black" w:hAnsi="Aileron Black"/>
          <w:b/>
          <w:bCs/>
          <w:color w:val="FF0000"/>
          <w:sz w:val="40"/>
          <w:szCs w:val="40"/>
        </w:rPr>
        <w:t xml:space="preserve">n’azienda su </w:t>
      </w:r>
      <w:proofErr w:type="gramStart"/>
      <w:r w:rsidR="00566E17" w:rsidRPr="00683684">
        <w:rPr>
          <w:rFonts w:ascii="Aileron Black" w:hAnsi="Aileron Black"/>
          <w:b/>
          <w:bCs/>
          <w:color w:val="FF0000"/>
          <w:sz w:val="40"/>
          <w:szCs w:val="40"/>
        </w:rPr>
        <w:t>quattro opera</w:t>
      </w:r>
      <w:proofErr w:type="gramEnd"/>
      <w:r w:rsidR="00566E17" w:rsidRPr="00683684">
        <w:rPr>
          <w:rFonts w:ascii="Aileron Black" w:hAnsi="Aileron Black"/>
          <w:b/>
          <w:bCs/>
          <w:color w:val="FF0000"/>
          <w:sz w:val="40"/>
          <w:szCs w:val="40"/>
        </w:rPr>
        <w:t xml:space="preserve"> nel commercio </w:t>
      </w:r>
      <w:r w:rsidR="00EE3FBB" w:rsidRPr="00683684">
        <w:rPr>
          <w:rFonts w:ascii="Aileron Black" w:hAnsi="Aileron Black"/>
          <w:b/>
          <w:bCs/>
          <w:color w:val="FF0000"/>
          <w:sz w:val="40"/>
          <w:szCs w:val="40"/>
        </w:rPr>
        <w:t xml:space="preserve"> </w:t>
      </w:r>
    </w:p>
    <w:p w14:paraId="6A96C14D" w14:textId="77777777" w:rsidR="00566E17" w:rsidRDefault="00566E17" w:rsidP="00EE3FBB">
      <w:pPr>
        <w:jc w:val="right"/>
      </w:pPr>
      <w:r>
        <w:rPr>
          <w:rFonts w:ascii="Aileron Black" w:hAnsi="Aileron Black"/>
          <w:b/>
          <w:bCs/>
          <w:i/>
          <w:color w:val="595959" w:themeColor="text1" w:themeTint="A6"/>
          <w:sz w:val="32"/>
          <w:szCs w:val="32"/>
        </w:rPr>
        <w:t>200mila addetti</w:t>
      </w:r>
      <w:r w:rsidRPr="00566E17">
        <w:t xml:space="preserve"> </w:t>
      </w:r>
    </w:p>
    <w:p w14:paraId="34828EE6" w14:textId="77777777" w:rsidR="00EE3FBB" w:rsidRPr="00EE3FBB" w:rsidRDefault="00566E17" w:rsidP="00EE3FBB">
      <w:pPr>
        <w:jc w:val="right"/>
        <w:rPr>
          <w:rFonts w:ascii="Aileron Black" w:hAnsi="Aileron Black"/>
          <w:b/>
          <w:bCs/>
          <w:i/>
          <w:color w:val="595959" w:themeColor="text1" w:themeTint="A6"/>
          <w:sz w:val="32"/>
          <w:szCs w:val="32"/>
        </w:rPr>
      </w:pPr>
      <w:r w:rsidRPr="00566E17">
        <w:rPr>
          <w:rFonts w:ascii="Aileron Black" w:hAnsi="Aileron Black"/>
          <w:b/>
          <w:bCs/>
          <w:i/>
          <w:color w:val="595959" w:themeColor="text1" w:themeTint="A6"/>
          <w:sz w:val="32"/>
          <w:szCs w:val="32"/>
        </w:rPr>
        <w:t xml:space="preserve">Forte crescita degli investimenti e migliori risultati di </w:t>
      </w:r>
      <w:proofErr w:type="gramStart"/>
      <w:r w:rsidRPr="00566E17">
        <w:rPr>
          <w:rFonts w:ascii="Aileron Black" w:hAnsi="Aileron Black"/>
          <w:b/>
          <w:bCs/>
          <w:i/>
          <w:color w:val="595959" w:themeColor="text1" w:themeTint="A6"/>
          <w:sz w:val="32"/>
          <w:szCs w:val="32"/>
        </w:rPr>
        <w:t>fatturato</w:t>
      </w:r>
      <w:proofErr w:type="gramEnd"/>
    </w:p>
    <w:p w14:paraId="0FB0E4ED" w14:textId="77777777" w:rsidR="00683684" w:rsidRDefault="00683684" w:rsidP="00EE3FBB">
      <w:pPr>
        <w:spacing w:after="0"/>
        <w:jc w:val="both"/>
        <w:rPr>
          <w:sz w:val="24"/>
          <w:szCs w:val="24"/>
        </w:rPr>
      </w:pPr>
    </w:p>
    <w:p w14:paraId="104B03A2" w14:textId="77777777" w:rsidR="00EE3FBB" w:rsidRPr="00022006" w:rsidRDefault="00EE3FBB" w:rsidP="00EE3FBB">
      <w:pPr>
        <w:spacing w:after="0"/>
        <w:jc w:val="both"/>
        <w:rPr>
          <w:sz w:val="24"/>
          <w:szCs w:val="24"/>
        </w:rPr>
      </w:pPr>
      <w:proofErr w:type="gramStart"/>
      <w:r w:rsidRPr="00022006">
        <w:rPr>
          <w:sz w:val="24"/>
          <w:szCs w:val="24"/>
        </w:rPr>
        <w:t xml:space="preserve">Terzo appuntamento con il </w:t>
      </w:r>
      <w:r w:rsidRPr="00022006">
        <w:rPr>
          <w:b/>
          <w:sz w:val="24"/>
          <w:szCs w:val="24"/>
        </w:rPr>
        <w:t>Sismografo - l’economia pugliese ai tempi del Covid-19</w:t>
      </w:r>
      <w:r w:rsidRPr="00022006">
        <w:rPr>
          <w:sz w:val="24"/>
          <w:szCs w:val="24"/>
        </w:rPr>
        <w:t xml:space="preserve"> di </w:t>
      </w:r>
      <w:proofErr w:type="spellStart"/>
      <w:r w:rsidRPr="00022006">
        <w:rPr>
          <w:sz w:val="24"/>
          <w:szCs w:val="24"/>
        </w:rPr>
        <w:t>Unioncamere</w:t>
      </w:r>
      <w:proofErr w:type="spellEnd"/>
      <w:r w:rsidRPr="00022006">
        <w:rPr>
          <w:sz w:val="24"/>
          <w:szCs w:val="24"/>
        </w:rPr>
        <w:t xml:space="preserve"> Puglia, istantanee delle filiere portanti de</w:t>
      </w:r>
      <w:proofErr w:type="gramEnd"/>
      <w:r w:rsidRPr="00022006">
        <w:rPr>
          <w:sz w:val="24"/>
          <w:szCs w:val="24"/>
        </w:rPr>
        <w:t>ll’economia pugliese prima del meteorite COVID. Dopo l’emergenza, quindi, scattarne un’altra per capire se e come il fenomeno avrà impattato sulle prospettive di sviluppo del nostro territorio.</w:t>
      </w:r>
    </w:p>
    <w:p w14:paraId="28D725C9" w14:textId="77777777" w:rsidR="00EE3FBB" w:rsidRPr="00022006" w:rsidRDefault="00EE3FBB" w:rsidP="00EE3FBB">
      <w:pPr>
        <w:spacing w:after="0"/>
        <w:jc w:val="both"/>
        <w:rPr>
          <w:sz w:val="24"/>
          <w:szCs w:val="24"/>
        </w:rPr>
      </w:pPr>
      <w:r w:rsidRPr="00022006">
        <w:rPr>
          <w:sz w:val="24"/>
          <w:szCs w:val="24"/>
        </w:rPr>
        <w:t xml:space="preserve">Turismo, </w:t>
      </w:r>
      <w:proofErr w:type="spellStart"/>
      <w:proofErr w:type="gramStart"/>
      <w:r w:rsidRPr="00022006">
        <w:rPr>
          <w:sz w:val="24"/>
          <w:szCs w:val="24"/>
        </w:rPr>
        <w:t>food</w:t>
      </w:r>
      <w:proofErr w:type="spellEnd"/>
      <w:proofErr w:type="gramEnd"/>
      <w:r w:rsidRPr="00022006">
        <w:rPr>
          <w:sz w:val="24"/>
          <w:szCs w:val="24"/>
        </w:rPr>
        <w:t xml:space="preserve">, commercio, meccanica, costruzioni, legno arredo, moda: i numeri di oggi confrontati con quelli del 2014 e, in seguito, con quelli dei prossimi sei mesi. </w:t>
      </w:r>
    </w:p>
    <w:p w14:paraId="60D151E1" w14:textId="77777777" w:rsidR="00EE3FBB" w:rsidRPr="00022006" w:rsidRDefault="00EE3FBB" w:rsidP="00EE3FBB">
      <w:pPr>
        <w:spacing w:after="0"/>
        <w:jc w:val="both"/>
        <w:rPr>
          <w:sz w:val="24"/>
          <w:szCs w:val="24"/>
        </w:rPr>
      </w:pPr>
    </w:p>
    <w:p w14:paraId="593F17FA" w14:textId="1CE90FA0" w:rsidR="00EE3FBB" w:rsidRPr="00B169B5" w:rsidRDefault="00EE3FBB" w:rsidP="00EE3FBB">
      <w:pPr>
        <w:jc w:val="both"/>
        <w:rPr>
          <w:b/>
          <w:sz w:val="24"/>
          <w:szCs w:val="24"/>
        </w:rPr>
      </w:pPr>
      <w:r w:rsidRPr="00022006">
        <w:rPr>
          <w:sz w:val="24"/>
          <w:szCs w:val="24"/>
        </w:rPr>
        <w:t xml:space="preserve">Dopo gli studi già diffusi su Turismo e </w:t>
      </w:r>
      <w:proofErr w:type="spellStart"/>
      <w:proofErr w:type="gramStart"/>
      <w:r w:rsidRPr="00022006">
        <w:rPr>
          <w:sz w:val="24"/>
          <w:szCs w:val="24"/>
        </w:rPr>
        <w:t>Food</w:t>
      </w:r>
      <w:proofErr w:type="spellEnd"/>
      <w:proofErr w:type="gramEnd"/>
      <w:r w:rsidRPr="00022006">
        <w:rPr>
          <w:sz w:val="24"/>
          <w:szCs w:val="24"/>
        </w:rPr>
        <w:t xml:space="preserve"> è la volta del </w:t>
      </w:r>
      <w:r w:rsidRPr="00022006">
        <w:rPr>
          <w:b/>
          <w:sz w:val="24"/>
          <w:szCs w:val="24"/>
        </w:rPr>
        <w:t>Commercio,</w:t>
      </w:r>
      <w:r w:rsidRPr="00022006">
        <w:rPr>
          <w:sz w:val="24"/>
          <w:szCs w:val="24"/>
        </w:rPr>
        <w:t xml:space="preserve"> un settore in cui,  a fine 2019, operano in Puglia più di 93mila imprese, di cui ben oltre 65mila nel dettaglio e 28mila nell’ingrosso. </w:t>
      </w:r>
      <w:r w:rsidRPr="00022006">
        <w:rPr>
          <w:b/>
          <w:sz w:val="24"/>
          <w:szCs w:val="24"/>
        </w:rPr>
        <w:t>Un</w:t>
      </w:r>
      <w:r w:rsidR="00257A80" w:rsidRPr="00022006">
        <w:rPr>
          <w:b/>
          <w:sz w:val="24"/>
          <w:szCs w:val="24"/>
        </w:rPr>
        <w:t>’</w:t>
      </w:r>
      <w:r w:rsidRPr="00022006">
        <w:rPr>
          <w:b/>
          <w:sz w:val="24"/>
          <w:szCs w:val="24"/>
        </w:rPr>
        <w:t>azienda su quattro dell’intera regione.</w:t>
      </w:r>
      <w:r w:rsidRPr="00022006">
        <w:rPr>
          <w:sz w:val="24"/>
          <w:szCs w:val="24"/>
        </w:rPr>
        <w:t xml:space="preserve"> Rispetto al 2014 il settore si presenta molto più concentrato: vi lavorano più </w:t>
      </w:r>
      <w:proofErr w:type="gramStart"/>
      <w:r w:rsidRPr="00022006">
        <w:rPr>
          <w:sz w:val="24"/>
          <w:szCs w:val="24"/>
        </w:rPr>
        <w:t>persone, ma</w:t>
      </w:r>
      <w:proofErr w:type="gramEnd"/>
      <w:r w:rsidRPr="00022006">
        <w:rPr>
          <w:sz w:val="24"/>
          <w:szCs w:val="24"/>
        </w:rPr>
        <w:t xml:space="preserve"> meno aziende. </w:t>
      </w:r>
      <w:r w:rsidRPr="00B169B5">
        <w:rPr>
          <w:b/>
          <w:sz w:val="24"/>
          <w:szCs w:val="24"/>
        </w:rPr>
        <w:t>Si contano</w:t>
      </w:r>
      <w:proofErr w:type="gramStart"/>
      <w:r w:rsidRPr="00B169B5">
        <w:rPr>
          <w:b/>
          <w:sz w:val="24"/>
          <w:szCs w:val="24"/>
        </w:rPr>
        <w:t xml:space="preserve"> infatti</w:t>
      </w:r>
      <w:proofErr w:type="gramEnd"/>
      <w:r w:rsidRPr="00B169B5">
        <w:rPr>
          <w:b/>
          <w:sz w:val="24"/>
          <w:szCs w:val="24"/>
        </w:rPr>
        <w:t xml:space="preserve"> quasi 4mila imprese in meno nel dettaglio (-5,64%) e 158 in meno nell’ingrosso (-0,56%), ma questo a fronte di dinamiche occupazionali nettamente antitetiche.</w:t>
      </w:r>
    </w:p>
    <w:p w14:paraId="6487B998" w14:textId="079F1B3E" w:rsidR="00EE3FBB" w:rsidRPr="00022006" w:rsidRDefault="00B169B5" w:rsidP="00EE3FBB">
      <w:pPr>
        <w:jc w:val="both"/>
        <w:rPr>
          <w:sz w:val="24"/>
          <w:szCs w:val="24"/>
        </w:rPr>
      </w:pPr>
      <w:r>
        <w:rPr>
          <w:sz w:val="24"/>
          <w:szCs w:val="24"/>
        </w:rPr>
        <w:t>Difatti nella distribuzione alimentare</w:t>
      </w:r>
      <w:r w:rsidR="00EE3FBB" w:rsidRPr="00022006">
        <w:rPr>
          <w:sz w:val="24"/>
          <w:szCs w:val="24"/>
        </w:rPr>
        <w:t xml:space="preserve"> operano </w:t>
      </w:r>
      <w:r w:rsidR="00EE3FBB" w:rsidRPr="00022006">
        <w:rPr>
          <w:b/>
          <w:sz w:val="24"/>
          <w:szCs w:val="24"/>
        </w:rPr>
        <w:t>200mila addetti</w:t>
      </w:r>
      <w:r w:rsidR="00EE3FBB" w:rsidRPr="00022006">
        <w:rPr>
          <w:sz w:val="24"/>
          <w:szCs w:val="24"/>
        </w:rPr>
        <w:t xml:space="preserve">, 134mila nel dettaglio e più di 65mila nell’ingrosso. </w:t>
      </w:r>
      <w:r w:rsidR="00EE3FBB" w:rsidRPr="00B169B5">
        <w:rPr>
          <w:b/>
          <w:sz w:val="24"/>
          <w:szCs w:val="24"/>
        </w:rPr>
        <w:t>Si contano 7mila addetti in più rispetto alla fotografia del 2014</w:t>
      </w:r>
      <w:r w:rsidR="00EE3FBB" w:rsidRPr="00022006">
        <w:rPr>
          <w:sz w:val="24"/>
          <w:szCs w:val="24"/>
        </w:rPr>
        <w:t xml:space="preserve"> (+3,69%, andamento simile sia nel dettaglio </w:t>
      </w:r>
      <w:proofErr w:type="gramStart"/>
      <w:r w:rsidR="00EE3FBB" w:rsidRPr="00022006">
        <w:rPr>
          <w:sz w:val="24"/>
          <w:szCs w:val="24"/>
        </w:rPr>
        <w:t>che</w:t>
      </w:r>
      <w:proofErr w:type="gramEnd"/>
      <w:r w:rsidR="00EE3FBB" w:rsidRPr="00022006">
        <w:rPr>
          <w:sz w:val="24"/>
          <w:szCs w:val="24"/>
        </w:rPr>
        <w:t xml:space="preserve"> nell’ingrosso). In ogni impresa commerciale pugliese mediamente operano 2,14 dipendenti, dato inferiore alla tendenza nazionale (2,60).</w:t>
      </w:r>
    </w:p>
    <w:p w14:paraId="45E7EC03" w14:textId="3DB1D177" w:rsidR="00EE3FBB" w:rsidRPr="00022006" w:rsidRDefault="006C7005" w:rsidP="00EE3FBB">
      <w:pPr>
        <w:jc w:val="both"/>
        <w:rPr>
          <w:sz w:val="24"/>
          <w:szCs w:val="24"/>
        </w:rPr>
      </w:pPr>
      <w:r w:rsidRPr="00022006">
        <w:rPr>
          <w:b/>
          <w:sz w:val="24"/>
          <w:szCs w:val="24"/>
        </w:rPr>
        <w:lastRenderedPageBreak/>
        <w:t>Nel</w:t>
      </w:r>
      <w:r w:rsidR="00B169B5">
        <w:rPr>
          <w:b/>
          <w:sz w:val="24"/>
          <w:szCs w:val="24"/>
        </w:rPr>
        <w:t>la distribuz</w:t>
      </w:r>
      <w:bookmarkStart w:id="0" w:name="_GoBack"/>
      <w:bookmarkEnd w:id="0"/>
      <w:r w:rsidR="00B169B5">
        <w:rPr>
          <w:b/>
          <w:sz w:val="24"/>
          <w:szCs w:val="24"/>
        </w:rPr>
        <w:t xml:space="preserve">ione alimentare </w:t>
      </w:r>
      <w:r w:rsidRPr="00022006">
        <w:rPr>
          <w:b/>
          <w:sz w:val="24"/>
          <w:szCs w:val="24"/>
        </w:rPr>
        <w:t>sono concentrate più di 10mila attività</w:t>
      </w:r>
      <w:r w:rsidR="00B169B5">
        <w:rPr>
          <w:sz w:val="24"/>
          <w:szCs w:val="24"/>
        </w:rPr>
        <w:t xml:space="preserve">. Nel settore del commercio non alimentare </w:t>
      </w:r>
      <w:r w:rsidR="00257A80" w:rsidRPr="00022006">
        <w:rPr>
          <w:sz w:val="24"/>
          <w:szCs w:val="24"/>
        </w:rPr>
        <w:t xml:space="preserve">è il dettaglio moda ad avere i numeri più alti, </w:t>
      </w:r>
      <w:r w:rsidR="00EE3FBB" w:rsidRPr="00022006">
        <w:rPr>
          <w:sz w:val="24"/>
          <w:szCs w:val="24"/>
        </w:rPr>
        <w:t xml:space="preserve">con oltre 6mila negozi di abbigliamento e 1300 di calzature. </w:t>
      </w:r>
    </w:p>
    <w:p w14:paraId="6D56093A" w14:textId="77777777" w:rsidR="00257A80" w:rsidRPr="00022006" w:rsidRDefault="00EE3FBB" w:rsidP="00EE3FBB">
      <w:pPr>
        <w:jc w:val="both"/>
        <w:rPr>
          <w:b/>
          <w:sz w:val="24"/>
          <w:szCs w:val="24"/>
        </w:rPr>
      </w:pPr>
      <w:proofErr w:type="gramStart"/>
      <w:r w:rsidRPr="00022006">
        <w:rPr>
          <w:sz w:val="24"/>
          <w:szCs w:val="24"/>
        </w:rPr>
        <w:t>Estremamente</w:t>
      </w:r>
      <w:proofErr w:type="gramEnd"/>
      <w:r w:rsidRPr="00022006">
        <w:rPr>
          <w:sz w:val="24"/>
          <w:szCs w:val="24"/>
        </w:rPr>
        <w:t xml:space="preserve"> rilevante il numero di</w:t>
      </w:r>
      <w:r w:rsidRPr="00022006">
        <w:rPr>
          <w:b/>
          <w:sz w:val="24"/>
          <w:szCs w:val="24"/>
        </w:rPr>
        <w:t xml:space="preserve"> ambulanti in Puglia</w:t>
      </w:r>
      <w:r w:rsidRPr="00022006">
        <w:rPr>
          <w:sz w:val="24"/>
          <w:szCs w:val="24"/>
        </w:rPr>
        <w:t xml:space="preserve">: </w:t>
      </w:r>
      <w:r w:rsidR="00257A80" w:rsidRPr="00022006">
        <w:rPr>
          <w:b/>
          <w:sz w:val="24"/>
          <w:szCs w:val="24"/>
        </w:rPr>
        <w:t xml:space="preserve">oltre 14mila imprese. </w:t>
      </w:r>
    </w:p>
    <w:p w14:paraId="18ACE39E" w14:textId="77777777" w:rsidR="00EE3FBB" w:rsidRPr="00022006" w:rsidRDefault="00257A80" w:rsidP="00EE3FBB">
      <w:pPr>
        <w:jc w:val="both"/>
        <w:rPr>
          <w:sz w:val="24"/>
          <w:szCs w:val="24"/>
        </w:rPr>
      </w:pPr>
      <w:r w:rsidRPr="00022006">
        <w:rPr>
          <w:b/>
          <w:sz w:val="24"/>
          <w:szCs w:val="24"/>
        </w:rPr>
        <w:t>Fra le province, Bari traina il dato delle aziende registrate</w:t>
      </w:r>
      <w:r w:rsidRPr="00022006">
        <w:rPr>
          <w:sz w:val="24"/>
          <w:szCs w:val="24"/>
        </w:rPr>
        <w:t>, quasi una su tre, seguita a ruota da Lecce (una su cinque). Seguono nell’ordine Foggia, Taranto, Brindisi e BAT.</w:t>
      </w:r>
    </w:p>
    <w:p w14:paraId="3BA4ED74" w14:textId="77777777" w:rsidR="00257A80" w:rsidRPr="00022006" w:rsidRDefault="00257A80" w:rsidP="00EE3FBB">
      <w:pPr>
        <w:jc w:val="both"/>
        <w:rPr>
          <w:sz w:val="24"/>
          <w:szCs w:val="24"/>
        </w:rPr>
      </w:pPr>
      <w:r w:rsidRPr="00022006">
        <w:rPr>
          <w:sz w:val="24"/>
          <w:szCs w:val="24"/>
        </w:rPr>
        <w:t xml:space="preserve">In tutte le città pugliesi opera una </w:t>
      </w:r>
      <w:r w:rsidRPr="00022006">
        <w:rPr>
          <w:b/>
          <w:sz w:val="24"/>
          <w:szCs w:val="24"/>
        </w:rPr>
        <w:t>moltitudine di commercianti di vicinato</w:t>
      </w:r>
      <w:r w:rsidRPr="00022006">
        <w:rPr>
          <w:sz w:val="24"/>
          <w:szCs w:val="24"/>
        </w:rPr>
        <w:t>, con 64</w:t>
      </w:r>
      <w:r w:rsidR="00566E17" w:rsidRPr="00022006">
        <w:rPr>
          <w:sz w:val="24"/>
          <w:szCs w:val="24"/>
        </w:rPr>
        <w:t xml:space="preserve">mila </w:t>
      </w:r>
      <w:r w:rsidRPr="00022006">
        <w:rPr>
          <w:sz w:val="24"/>
          <w:szCs w:val="24"/>
        </w:rPr>
        <w:t>microimprese</w:t>
      </w:r>
      <w:r w:rsidR="00566E17" w:rsidRPr="00022006">
        <w:rPr>
          <w:sz w:val="24"/>
          <w:szCs w:val="24"/>
        </w:rPr>
        <w:t>.</w:t>
      </w:r>
    </w:p>
    <w:p w14:paraId="413658CD" w14:textId="77777777" w:rsidR="00566E17" w:rsidRPr="00022006" w:rsidRDefault="00566E17" w:rsidP="00566E17">
      <w:pPr>
        <w:jc w:val="both"/>
        <w:rPr>
          <w:sz w:val="24"/>
          <w:szCs w:val="24"/>
        </w:rPr>
      </w:pPr>
      <w:r w:rsidRPr="00022006">
        <w:rPr>
          <w:b/>
          <w:sz w:val="24"/>
          <w:szCs w:val="24"/>
        </w:rPr>
        <w:t>La GDO pugliese</w:t>
      </w:r>
      <w:r w:rsidRPr="00022006">
        <w:rPr>
          <w:sz w:val="24"/>
          <w:szCs w:val="24"/>
        </w:rPr>
        <w:t xml:space="preserve"> è un mondo articolato e con molte facce, che complessivamente conta </w:t>
      </w:r>
      <w:r w:rsidRPr="00022006">
        <w:rPr>
          <w:b/>
          <w:sz w:val="24"/>
          <w:szCs w:val="24"/>
        </w:rPr>
        <w:t>1.528 punti vendita e una superficie pari a più di 110 campi di calcio</w:t>
      </w:r>
      <w:proofErr w:type="gramStart"/>
      <w:r w:rsidRPr="00022006">
        <w:rPr>
          <w:b/>
          <w:sz w:val="24"/>
          <w:szCs w:val="24"/>
        </w:rPr>
        <w:t xml:space="preserve">  </w:t>
      </w:r>
      <w:proofErr w:type="gramEnd"/>
      <w:r w:rsidRPr="00022006">
        <w:rPr>
          <w:b/>
          <w:sz w:val="24"/>
          <w:szCs w:val="24"/>
        </w:rPr>
        <w:t>(1.254.630 mq)</w:t>
      </w:r>
      <w:r w:rsidRPr="00022006">
        <w:rPr>
          <w:sz w:val="24"/>
          <w:szCs w:val="24"/>
        </w:rPr>
        <w:t xml:space="preserve">. </w:t>
      </w:r>
    </w:p>
    <w:p w14:paraId="5CF98C42" w14:textId="77777777" w:rsidR="00566E17" w:rsidRPr="00022006" w:rsidRDefault="00566E17" w:rsidP="00566E17">
      <w:pPr>
        <w:jc w:val="both"/>
        <w:rPr>
          <w:sz w:val="24"/>
          <w:szCs w:val="24"/>
        </w:rPr>
      </w:pPr>
      <w:r w:rsidRPr="00022006">
        <w:rPr>
          <w:b/>
          <w:sz w:val="24"/>
          <w:szCs w:val="24"/>
        </w:rPr>
        <w:t xml:space="preserve">Molto forte la presenza </w:t>
      </w:r>
      <w:proofErr w:type="gramStart"/>
      <w:r w:rsidRPr="00022006">
        <w:rPr>
          <w:b/>
          <w:sz w:val="24"/>
          <w:szCs w:val="24"/>
        </w:rPr>
        <w:t xml:space="preserve">di </w:t>
      </w:r>
      <w:proofErr w:type="gramEnd"/>
      <w:r w:rsidRPr="00022006">
        <w:rPr>
          <w:b/>
          <w:sz w:val="24"/>
          <w:szCs w:val="24"/>
        </w:rPr>
        <w:t>ipermercati e minimarket</w:t>
      </w:r>
      <w:r w:rsidRPr="00022006">
        <w:rPr>
          <w:sz w:val="24"/>
          <w:szCs w:val="24"/>
        </w:rPr>
        <w:t>, che hanno  superfici per abitante più alte delle medie nazionali.</w:t>
      </w:r>
    </w:p>
    <w:p w14:paraId="6C86AD5F" w14:textId="77777777" w:rsidR="00566E17" w:rsidRPr="00022006" w:rsidRDefault="00566E17" w:rsidP="00566E17">
      <w:pPr>
        <w:jc w:val="both"/>
        <w:rPr>
          <w:sz w:val="24"/>
          <w:szCs w:val="24"/>
        </w:rPr>
      </w:pPr>
      <w:r w:rsidRPr="00022006">
        <w:rPr>
          <w:b/>
          <w:sz w:val="24"/>
          <w:szCs w:val="24"/>
        </w:rPr>
        <w:t>Le classi di età</w:t>
      </w:r>
      <w:r w:rsidRPr="00022006">
        <w:rPr>
          <w:sz w:val="24"/>
          <w:szCs w:val="24"/>
        </w:rPr>
        <w:t xml:space="preserve"> delle imprese commerciali (per anno </w:t>
      </w:r>
      <w:proofErr w:type="gramStart"/>
      <w:r w:rsidRPr="00022006">
        <w:rPr>
          <w:sz w:val="24"/>
          <w:szCs w:val="24"/>
        </w:rPr>
        <w:t xml:space="preserve">di </w:t>
      </w:r>
      <w:proofErr w:type="gramEnd"/>
      <w:r w:rsidRPr="00022006">
        <w:rPr>
          <w:sz w:val="24"/>
          <w:szCs w:val="24"/>
        </w:rPr>
        <w:t xml:space="preserve">iscrizione al Registro Imprese) rivelano una significativa tendenza a tramandare l’impresa di generazione in generazione. Le aziende con più di </w:t>
      </w:r>
      <w:proofErr w:type="gramStart"/>
      <w:r w:rsidRPr="00022006">
        <w:rPr>
          <w:sz w:val="24"/>
          <w:szCs w:val="24"/>
        </w:rPr>
        <w:t>20</w:t>
      </w:r>
      <w:proofErr w:type="gramEnd"/>
      <w:r w:rsidRPr="00022006">
        <w:rPr>
          <w:sz w:val="24"/>
          <w:szCs w:val="24"/>
        </w:rPr>
        <w:t xml:space="preserve"> anni di attività sono quasi 27mila, segno di una interessante continuità, al di là del turnover, che comunque non manca. E’ uno zoccolo duro in cui spiccano anche </w:t>
      </w:r>
      <w:proofErr w:type="gramStart"/>
      <w:r w:rsidRPr="00022006">
        <w:rPr>
          <w:sz w:val="24"/>
          <w:szCs w:val="24"/>
        </w:rPr>
        <w:t>23</w:t>
      </w:r>
      <w:proofErr w:type="gramEnd"/>
      <w:r w:rsidRPr="00022006">
        <w:rPr>
          <w:sz w:val="24"/>
          <w:szCs w:val="24"/>
        </w:rPr>
        <w:t xml:space="preserve"> imprese che operano da più di 80 anni. </w:t>
      </w:r>
    </w:p>
    <w:p w14:paraId="05B5F6D9" w14:textId="77777777" w:rsidR="00566E17" w:rsidRPr="00022006" w:rsidRDefault="00566E17" w:rsidP="00566E17">
      <w:pPr>
        <w:jc w:val="both"/>
        <w:rPr>
          <w:sz w:val="24"/>
          <w:szCs w:val="24"/>
        </w:rPr>
      </w:pPr>
      <w:r w:rsidRPr="00022006">
        <w:rPr>
          <w:sz w:val="24"/>
          <w:szCs w:val="24"/>
        </w:rPr>
        <w:t xml:space="preserve">Nel 70% dei casi il commerciante pugliese sceglie la </w:t>
      </w:r>
      <w:r w:rsidRPr="00022006">
        <w:rPr>
          <w:b/>
          <w:sz w:val="24"/>
          <w:szCs w:val="24"/>
        </w:rPr>
        <w:t>forma societaria</w:t>
      </w:r>
      <w:r w:rsidRPr="00022006">
        <w:rPr>
          <w:sz w:val="24"/>
          <w:szCs w:val="24"/>
        </w:rPr>
        <w:t xml:space="preserve"> dell’impresa individuale, </w:t>
      </w:r>
      <w:proofErr w:type="gramStart"/>
      <w:r w:rsidRPr="00022006">
        <w:rPr>
          <w:sz w:val="24"/>
          <w:szCs w:val="24"/>
        </w:rPr>
        <w:t>nell’8%</w:t>
      </w:r>
      <w:proofErr w:type="gramEnd"/>
      <w:r w:rsidRPr="00022006">
        <w:rPr>
          <w:sz w:val="24"/>
          <w:szCs w:val="24"/>
        </w:rPr>
        <w:t xml:space="preserve"> invece iscrive una società di persone. Il dato delle società di capitali (21%), ancorché in crescita ininterrotta da anni, </w:t>
      </w:r>
      <w:proofErr w:type="gramStart"/>
      <w:r w:rsidRPr="00022006">
        <w:rPr>
          <w:sz w:val="24"/>
          <w:szCs w:val="24"/>
        </w:rPr>
        <w:t>è inferiore</w:t>
      </w:r>
      <w:proofErr w:type="gramEnd"/>
      <w:r w:rsidRPr="00022006">
        <w:rPr>
          <w:sz w:val="24"/>
          <w:szCs w:val="24"/>
        </w:rPr>
        <w:t xml:space="preserve"> a quello di altri settori dell’economia pugliese. Ciò significa che la metamorfosi verso forme societarie più strutturate e mature esiste, ma - GDO a parte, ovviamente- è più lenta che in altri comparti, ma assolutamente in linea con le medie italiane.</w:t>
      </w:r>
    </w:p>
    <w:p w14:paraId="30CB9483" w14:textId="77777777" w:rsidR="00566E17" w:rsidRDefault="00566E17" w:rsidP="00566E17">
      <w:pPr>
        <w:jc w:val="both"/>
        <w:rPr>
          <w:b/>
          <w:sz w:val="24"/>
          <w:szCs w:val="24"/>
        </w:rPr>
      </w:pPr>
      <w:r w:rsidRPr="00022006">
        <w:rPr>
          <w:sz w:val="24"/>
          <w:szCs w:val="24"/>
        </w:rPr>
        <w:t xml:space="preserve">L’analisi aggregata degli ultimi due </w:t>
      </w:r>
      <w:r w:rsidRPr="00022006">
        <w:rPr>
          <w:b/>
          <w:sz w:val="24"/>
          <w:szCs w:val="24"/>
        </w:rPr>
        <w:t>bilanci</w:t>
      </w:r>
      <w:r w:rsidRPr="00022006">
        <w:rPr>
          <w:sz w:val="24"/>
          <w:szCs w:val="24"/>
        </w:rPr>
        <w:t xml:space="preserve"> depositati da 7.013 imprese del settore commerciale consente di rivelare negli ultimi due anni parecchie dinamiche positive: fra</w:t>
      </w:r>
      <w:r w:rsidRPr="00022006">
        <w:rPr>
          <w:b/>
          <w:sz w:val="24"/>
          <w:szCs w:val="24"/>
        </w:rPr>
        <w:t xml:space="preserve"> forte crescita degli investimenti e migliori risultati di fatturato. </w:t>
      </w:r>
    </w:p>
    <w:p w14:paraId="688C0CCF" w14:textId="77777777" w:rsidR="008C24EE" w:rsidRDefault="008C24EE" w:rsidP="00566E17">
      <w:pPr>
        <w:jc w:val="both"/>
        <w:rPr>
          <w:b/>
          <w:sz w:val="24"/>
          <w:szCs w:val="24"/>
        </w:rPr>
      </w:pPr>
    </w:p>
    <w:p w14:paraId="5FD44BAC" w14:textId="56172BA6" w:rsidR="008C24EE" w:rsidRPr="00022006" w:rsidRDefault="008C24EE" w:rsidP="00566E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prossimo appuntamento con il Sismografo è la Meccanica.</w:t>
      </w:r>
    </w:p>
    <w:p w14:paraId="0D0D297A" w14:textId="77777777" w:rsidR="00683684" w:rsidRPr="00022006" w:rsidRDefault="00683684" w:rsidP="00566E17">
      <w:pPr>
        <w:jc w:val="both"/>
        <w:rPr>
          <w:b/>
          <w:sz w:val="24"/>
          <w:szCs w:val="24"/>
        </w:rPr>
      </w:pPr>
    </w:p>
    <w:p w14:paraId="4CFCF686" w14:textId="77777777" w:rsidR="00683684" w:rsidRPr="00022006" w:rsidRDefault="00683684" w:rsidP="008C24EE">
      <w:pPr>
        <w:spacing w:after="0"/>
        <w:jc w:val="both"/>
        <w:rPr>
          <w:sz w:val="24"/>
          <w:szCs w:val="24"/>
        </w:rPr>
      </w:pPr>
      <w:r w:rsidRPr="00022006">
        <w:rPr>
          <w:sz w:val="24"/>
          <w:szCs w:val="24"/>
        </w:rPr>
        <w:t>Bari 6 aprile 2020</w:t>
      </w:r>
    </w:p>
    <w:p w14:paraId="1F8A5E47" w14:textId="77777777" w:rsidR="00683684" w:rsidRPr="00022006" w:rsidRDefault="00683684" w:rsidP="008C24EE">
      <w:pPr>
        <w:spacing w:after="0"/>
        <w:jc w:val="both"/>
        <w:rPr>
          <w:sz w:val="24"/>
          <w:szCs w:val="24"/>
        </w:rPr>
      </w:pPr>
      <w:r w:rsidRPr="00022006">
        <w:rPr>
          <w:sz w:val="24"/>
          <w:szCs w:val="24"/>
        </w:rPr>
        <w:t xml:space="preserve">Per l’ufficio stampa </w:t>
      </w:r>
      <w:proofErr w:type="spellStart"/>
      <w:r w:rsidRPr="00022006">
        <w:rPr>
          <w:sz w:val="24"/>
          <w:szCs w:val="24"/>
        </w:rPr>
        <w:t>Unioncamere</w:t>
      </w:r>
      <w:proofErr w:type="spellEnd"/>
      <w:r w:rsidRPr="00022006">
        <w:rPr>
          <w:sz w:val="24"/>
          <w:szCs w:val="24"/>
        </w:rPr>
        <w:t xml:space="preserve"> Puglia </w:t>
      </w:r>
    </w:p>
    <w:p w14:paraId="1A4F9D57" w14:textId="77777777" w:rsidR="00683684" w:rsidRPr="00022006" w:rsidRDefault="00683684" w:rsidP="008C24EE">
      <w:pPr>
        <w:spacing w:after="0"/>
        <w:jc w:val="both"/>
        <w:rPr>
          <w:sz w:val="24"/>
          <w:szCs w:val="24"/>
        </w:rPr>
      </w:pPr>
      <w:r w:rsidRPr="00022006">
        <w:rPr>
          <w:sz w:val="24"/>
          <w:szCs w:val="24"/>
        </w:rPr>
        <w:t xml:space="preserve">Chicca </w:t>
      </w:r>
      <w:proofErr w:type="spellStart"/>
      <w:r w:rsidRPr="00022006">
        <w:rPr>
          <w:sz w:val="24"/>
          <w:szCs w:val="24"/>
        </w:rPr>
        <w:t>Maralfa</w:t>
      </w:r>
      <w:proofErr w:type="spellEnd"/>
      <w:r w:rsidRPr="00022006">
        <w:rPr>
          <w:sz w:val="24"/>
          <w:szCs w:val="24"/>
        </w:rPr>
        <w:t xml:space="preserve"> 3385082862</w:t>
      </w:r>
    </w:p>
    <w:p w14:paraId="7B53DA62" w14:textId="77777777" w:rsidR="00022006" w:rsidRDefault="00022006" w:rsidP="00566E17">
      <w:pPr>
        <w:jc w:val="both"/>
        <w:rPr>
          <w:b/>
          <w:sz w:val="24"/>
          <w:szCs w:val="24"/>
        </w:rPr>
      </w:pPr>
    </w:p>
    <w:p w14:paraId="5AEDE241" w14:textId="77777777" w:rsidR="00022006" w:rsidRDefault="00022006" w:rsidP="00566E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allegato il report completo con i grafici.</w:t>
      </w:r>
    </w:p>
    <w:p w14:paraId="730DACCE" w14:textId="77777777" w:rsidR="00683684" w:rsidRPr="00683684" w:rsidRDefault="00683684" w:rsidP="00566E17">
      <w:pPr>
        <w:jc w:val="both"/>
        <w:rPr>
          <w:b/>
          <w:sz w:val="24"/>
          <w:szCs w:val="24"/>
        </w:rPr>
      </w:pPr>
    </w:p>
    <w:p w14:paraId="6EAB48D4" w14:textId="77777777" w:rsidR="00566E17" w:rsidRDefault="00566E17" w:rsidP="00566E17">
      <w:pPr>
        <w:jc w:val="both"/>
        <w:rPr>
          <w:sz w:val="28"/>
          <w:szCs w:val="28"/>
        </w:rPr>
      </w:pPr>
    </w:p>
    <w:p w14:paraId="3C15DFBB" w14:textId="77777777" w:rsidR="00566E17" w:rsidRPr="00EE3FBB" w:rsidRDefault="00566E17" w:rsidP="00EE3FBB">
      <w:pPr>
        <w:jc w:val="both"/>
        <w:rPr>
          <w:sz w:val="24"/>
          <w:szCs w:val="24"/>
        </w:rPr>
      </w:pPr>
    </w:p>
    <w:p w14:paraId="2E34E65F" w14:textId="77777777" w:rsidR="00EE3FBB" w:rsidRPr="00EE3FBB" w:rsidRDefault="00EE3FBB" w:rsidP="00EE3FBB">
      <w:pPr>
        <w:jc w:val="both"/>
        <w:rPr>
          <w:sz w:val="24"/>
          <w:szCs w:val="24"/>
        </w:rPr>
      </w:pPr>
    </w:p>
    <w:p w14:paraId="3E769165" w14:textId="77777777" w:rsidR="005F6329" w:rsidRPr="00EE3FBB" w:rsidRDefault="005F6329" w:rsidP="000E4F1C">
      <w:pPr>
        <w:ind w:left="-426"/>
        <w:rPr>
          <w:sz w:val="24"/>
          <w:szCs w:val="24"/>
        </w:rPr>
      </w:pPr>
    </w:p>
    <w:sectPr w:rsidR="005F6329" w:rsidRPr="00EE3FBB" w:rsidSect="000E4F1C">
      <w:headerReference w:type="default" r:id="rId8"/>
      <w:pgSz w:w="11900" w:h="16840"/>
      <w:pgMar w:top="1417" w:right="112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014FF" w14:textId="77777777" w:rsidR="00B169B5" w:rsidRDefault="00B169B5" w:rsidP="000E4F1C">
      <w:pPr>
        <w:spacing w:after="0" w:line="240" w:lineRule="auto"/>
      </w:pPr>
      <w:r>
        <w:separator/>
      </w:r>
    </w:p>
  </w:endnote>
  <w:endnote w:type="continuationSeparator" w:id="0">
    <w:p w14:paraId="7EE8691C" w14:textId="77777777" w:rsidR="00B169B5" w:rsidRDefault="00B169B5" w:rsidP="000E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ileron Blac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4A316" w14:textId="77777777" w:rsidR="00B169B5" w:rsidRDefault="00B169B5" w:rsidP="000E4F1C">
      <w:pPr>
        <w:spacing w:after="0" w:line="240" w:lineRule="auto"/>
      </w:pPr>
      <w:r>
        <w:separator/>
      </w:r>
    </w:p>
  </w:footnote>
  <w:footnote w:type="continuationSeparator" w:id="0">
    <w:p w14:paraId="2AA77E0F" w14:textId="77777777" w:rsidR="00B169B5" w:rsidRDefault="00B169B5" w:rsidP="000E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340A0" w14:textId="77777777" w:rsidR="00B169B5" w:rsidRDefault="00B169B5" w:rsidP="000E4F1C">
    <w:pPr>
      <w:pStyle w:val="Intestazione"/>
      <w:ind w:left="-709" w:firstLine="709"/>
    </w:pPr>
    <w:r w:rsidRPr="00295E4D">
      <w:rPr>
        <w:noProof/>
      </w:rPr>
      <w:drawing>
        <wp:anchor distT="0" distB="0" distL="114300" distR="114300" simplePos="0" relativeHeight="251659264" behindDoc="0" locked="0" layoutInCell="1" allowOverlap="1" wp14:anchorId="2D162B15" wp14:editId="467F8165">
          <wp:simplePos x="0" y="0"/>
          <wp:positionH relativeFrom="column">
            <wp:posOffset>3543300</wp:posOffset>
          </wp:positionH>
          <wp:positionV relativeFrom="paragraph">
            <wp:posOffset>335915</wp:posOffset>
          </wp:positionV>
          <wp:extent cx="2141855" cy="748030"/>
          <wp:effectExtent l="0" t="0" r="0" b="0"/>
          <wp:wrapNone/>
          <wp:docPr id="2" name="Immagin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493E572" wp14:editId="58D61384">
          <wp:extent cx="2496973" cy="1381930"/>
          <wp:effectExtent l="0" t="0" r="0" b="0"/>
          <wp:docPr id="3" name="Immagine 0" descr="il sismogra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 sismograf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7233" cy="1382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1C"/>
    <w:rsid w:val="00022006"/>
    <w:rsid w:val="000E4F1C"/>
    <w:rsid w:val="000F38AD"/>
    <w:rsid w:val="00257A80"/>
    <w:rsid w:val="003367B6"/>
    <w:rsid w:val="00566E17"/>
    <w:rsid w:val="005F6329"/>
    <w:rsid w:val="00683684"/>
    <w:rsid w:val="006C7005"/>
    <w:rsid w:val="008C24EE"/>
    <w:rsid w:val="00B169B5"/>
    <w:rsid w:val="00BC5FB8"/>
    <w:rsid w:val="00E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808B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F1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F1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4F1C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E4F1C"/>
  </w:style>
  <w:style w:type="paragraph" w:styleId="Pidipagina">
    <w:name w:val="footer"/>
    <w:basedOn w:val="Normale"/>
    <w:link w:val="Pidipagina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E4F1C"/>
  </w:style>
  <w:style w:type="table" w:styleId="Grigliatabella">
    <w:name w:val="Table Grid"/>
    <w:basedOn w:val="Tabellanormale"/>
    <w:uiPriority w:val="59"/>
    <w:rsid w:val="000E4F1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F1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F1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4F1C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E4F1C"/>
  </w:style>
  <w:style w:type="paragraph" w:styleId="Pidipagina">
    <w:name w:val="footer"/>
    <w:basedOn w:val="Normale"/>
    <w:link w:val="Pidipagina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E4F1C"/>
  </w:style>
  <w:style w:type="table" w:styleId="Grigliatabella">
    <w:name w:val="Table Grid"/>
    <w:basedOn w:val="Tabellanormale"/>
    <w:uiPriority w:val="59"/>
    <w:rsid w:val="000E4F1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447F51-85BC-7446-A6CF-BEB977B8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570</Words>
  <Characters>3255</Characters>
  <Application>Microsoft Macintosh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5</cp:revision>
  <dcterms:created xsi:type="dcterms:W3CDTF">2020-04-06T05:37:00Z</dcterms:created>
  <dcterms:modified xsi:type="dcterms:W3CDTF">2020-04-06T09:18:00Z</dcterms:modified>
</cp:coreProperties>
</file>