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66C6F" w14:textId="77777777" w:rsidR="000E4F1C" w:rsidRDefault="000E4F1C" w:rsidP="000E4F1C">
      <w:pPr>
        <w:jc w:val="both"/>
        <w:rPr>
          <w:sz w:val="28"/>
        </w:rPr>
      </w:pPr>
    </w:p>
    <w:p w14:paraId="617A9A7D" w14:textId="77777777" w:rsidR="000E4F1C" w:rsidRDefault="000E4F1C" w:rsidP="000E4F1C">
      <w:pPr>
        <w:jc w:val="both"/>
        <w:rPr>
          <w:sz w:val="2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E4F1C" w:rsidRPr="00786450" w14:paraId="1D905B26" w14:textId="77777777" w:rsidTr="000E4F1C">
        <w:tc>
          <w:tcPr>
            <w:tcW w:w="9854" w:type="dxa"/>
          </w:tcPr>
          <w:p w14:paraId="14B09D67" w14:textId="0E3C8657" w:rsidR="00BA6F56" w:rsidRDefault="006B13FC" w:rsidP="00BA6F56">
            <w:pPr>
              <w:spacing w:after="0"/>
              <w:jc w:val="right"/>
              <w:rPr>
                <w:rFonts w:ascii="Aileron Black" w:hAnsi="Aileron Black"/>
                <w:b/>
                <w:color w:val="000000" w:themeColor="text1"/>
                <w:sz w:val="32"/>
                <w:szCs w:val="32"/>
              </w:rPr>
            </w:pPr>
            <w:r>
              <w:rPr>
                <w:rFonts w:ascii="Aileron Black" w:hAnsi="Aileron Black"/>
                <w:b/>
                <w:color w:val="000000" w:themeColor="text1"/>
                <w:sz w:val="72"/>
                <w:szCs w:val="72"/>
              </w:rPr>
              <w:t>5</w:t>
            </w:r>
            <w:r w:rsidR="000E4F1C" w:rsidRPr="00E12DAA">
              <w:rPr>
                <w:rFonts w:ascii="Aileron Black" w:hAnsi="Aileron Black"/>
                <w:b/>
                <w:color w:val="000000" w:themeColor="text1"/>
                <w:sz w:val="72"/>
                <w:szCs w:val="72"/>
              </w:rPr>
              <w:t>.</w:t>
            </w:r>
            <w:proofErr w:type="gramStart"/>
            <w:r w:rsidR="001F2B9E">
              <w:rPr>
                <w:rFonts w:ascii="Aileron Black" w:hAnsi="Aileron Black"/>
                <w:b/>
                <w:color w:val="000000" w:themeColor="text1"/>
                <w:sz w:val="72"/>
                <w:szCs w:val="72"/>
              </w:rPr>
              <w:t>Moda</w:t>
            </w:r>
            <w:proofErr w:type="gramEnd"/>
          </w:p>
          <w:p w14:paraId="3785A825" w14:textId="73DF6F15" w:rsidR="000E4F1C" w:rsidRPr="006B13FC" w:rsidRDefault="000E4F1C" w:rsidP="006B13FC">
            <w:pPr>
              <w:spacing w:after="0"/>
              <w:jc w:val="right"/>
              <w:rPr>
                <w:rFonts w:ascii="Aileron Black" w:hAnsi="Aileron Black"/>
                <w:b/>
                <w:color w:val="000000" w:themeColor="text1"/>
                <w:sz w:val="32"/>
                <w:szCs w:val="32"/>
              </w:rPr>
            </w:pPr>
            <w:proofErr w:type="gramStart"/>
            <w:r w:rsidRPr="00E12DAA">
              <w:rPr>
                <w:rFonts w:ascii="Aileron Black" w:hAnsi="Aileron Black"/>
                <w:b/>
                <w:color w:val="000000" w:themeColor="text1"/>
                <w:sz w:val="32"/>
                <w:szCs w:val="32"/>
              </w:rPr>
              <w:t>come</w:t>
            </w:r>
            <w:proofErr w:type="gramEnd"/>
            <w:r w:rsidRPr="00E12DAA">
              <w:rPr>
                <w:rFonts w:ascii="Aileron Black" w:hAnsi="Aileron Black"/>
                <w:b/>
                <w:color w:val="000000" w:themeColor="text1"/>
                <w:sz w:val="32"/>
                <w:szCs w:val="32"/>
              </w:rPr>
              <w:t xml:space="preserve"> è, come era, come sarà?</w:t>
            </w:r>
          </w:p>
        </w:tc>
      </w:tr>
      <w:tr w:rsidR="000E4F1C" w:rsidRPr="000E4F1C" w14:paraId="5F1068DD" w14:textId="77777777" w:rsidTr="000E4F1C">
        <w:tc>
          <w:tcPr>
            <w:tcW w:w="9854" w:type="dxa"/>
          </w:tcPr>
          <w:p w14:paraId="37514EE2" w14:textId="77777777" w:rsidR="00C20E50" w:rsidRDefault="00C20E50" w:rsidP="000E4F1C">
            <w:pPr>
              <w:jc w:val="right"/>
              <w:rPr>
                <w:rFonts w:ascii="Aileron Black" w:hAnsi="Aileron Black"/>
                <w:b/>
                <w:bCs/>
                <w:color w:val="595959" w:themeColor="text1" w:themeTint="A6"/>
                <w:sz w:val="48"/>
                <w:szCs w:val="48"/>
                <w:u w:val="single"/>
              </w:rPr>
            </w:pPr>
          </w:p>
          <w:p w14:paraId="46059420" w14:textId="77777777" w:rsidR="000E4F1C" w:rsidRPr="00E12DAA" w:rsidRDefault="000E4F1C" w:rsidP="000E4F1C">
            <w:pPr>
              <w:jc w:val="right"/>
              <w:rPr>
                <w:rFonts w:ascii="Aileron Black" w:hAnsi="Aileron Black"/>
                <w:b/>
                <w:bCs/>
                <w:color w:val="595959" w:themeColor="text1" w:themeTint="A6"/>
                <w:sz w:val="48"/>
                <w:szCs w:val="48"/>
                <w:u w:val="single"/>
              </w:rPr>
            </w:pPr>
            <w:r w:rsidRPr="00E12DAA">
              <w:rPr>
                <w:rFonts w:ascii="Aileron Black" w:hAnsi="Aileron Black"/>
                <w:b/>
                <w:bCs/>
                <w:color w:val="595959" w:themeColor="text1" w:themeTint="A6"/>
                <w:sz w:val="48"/>
                <w:szCs w:val="48"/>
                <w:u w:val="single"/>
              </w:rPr>
              <w:t>Comunicato stampa</w:t>
            </w:r>
          </w:p>
        </w:tc>
      </w:tr>
    </w:tbl>
    <w:p w14:paraId="47D7BEF6" w14:textId="7CEA188B" w:rsidR="00577ED4" w:rsidRDefault="003378C5" w:rsidP="003378C5">
      <w:pPr>
        <w:spacing w:after="0"/>
        <w:ind w:left="709"/>
        <w:jc w:val="right"/>
        <w:rPr>
          <w:rFonts w:ascii="Aileron Black" w:hAnsi="Aileron Black"/>
          <w:b/>
          <w:bCs/>
          <w:i/>
          <w:color w:val="FF0000"/>
          <w:sz w:val="44"/>
          <w:szCs w:val="44"/>
        </w:rPr>
      </w:pPr>
      <w:r>
        <w:rPr>
          <w:rFonts w:ascii="Aileron Black" w:hAnsi="Aileron Black"/>
          <w:b/>
          <w:bCs/>
          <w:i/>
          <w:color w:val="FF0000"/>
          <w:sz w:val="44"/>
          <w:szCs w:val="44"/>
        </w:rPr>
        <w:t xml:space="preserve">Chi ha resistito alla crisi post 2007 oggi crea </w:t>
      </w:r>
      <w:proofErr w:type="gramStart"/>
      <w:r>
        <w:rPr>
          <w:rFonts w:ascii="Aileron Black" w:hAnsi="Aileron Black"/>
          <w:b/>
          <w:bCs/>
          <w:i/>
          <w:color w:val="FF0000"/>
          <w:sz w:val="44"/>
          <w:szCs w:val="44"/>
        </w:rPr>
        <w:t>sviluppo</w:t>
      </w:r>
      <w:proofErr w:type="gramEnd"/>
      <w:r>
        <w:rPr>
          <w:rFonts w:ascii="Aileron Black" w:hAnsi="Aileron Black"/>
          <w:b/>
          <w:bCs/>
          <w:i/>
          <w:color w:val="FF0000"/>
          <w:sz w:val="44"/>
          <w:szCs w:val="44"/>
        </w:rPr>
        <w:t xml:space="preserve"> </w:t>
      </w:r>
    </w:p>
    <w:p w14:paraId="3F1C215B" w14:textId="77777777" w:rsidR="003378C5" w:rsidRDefault="003378C5" w:rsidP="003378C5">
      <w:pPr>
        <w:spacing w:after="0"/>
        <w:ind w:left="709"/>
        <w:jc w:val="both"/>
        <w:rPr>
          <w:sz w:val="24"/>
          <w:szCs w:val="24"/>
        </w:rPr>
      </w:pPr>
    </w:p>
    <w:p w14:paraId="4043AC7D" w14:textId="77777777" w:rsidR="003378C5" w:rsidRDefault="003378C5" w:rsidP="003378C5">
      <w:pPr>
        <w:spacing w:after="0"/>
        <w:ind w:left="709"/>
        <w:jc w:val="both"/>
        <w:rPr>
          <w:b/>
        </w:rPr>
      </w:pPr>
    </w:p>
    <w:p w14:paraId="104B03A2" w14:textId="122E1B70" w:rsidR="00EE3FBB" w:rsidRPr="00BA6F56" w:rsidRDefault="006B13FC" w:rsidP="003378C5">
      <w:pPr>
        <w:spacing w:after="0"/>
        <w:ind w:left="709"/>
        <w:jc w:val="both"/>
        <w:rPr>
          <w:b/>
        </w:rPr>
      </w:pPr>
      <w:r>
        <w:rPr>
          <w:b/>
        </w:rPr>
        <w:t>“</w:t>
      </w:r>
      <w:r w:rsidR="001F2B9E">
        <w:rPr>
          <w:b/>
        </w:rPr>
        <w:t>Moda</w:t>
      </w:r>
      <w:r>
        <w:rPr>
          <w:b/>
        </w:rPr>
        <w:t>”</w:t>
      </w:r>
      <w:r w:rsidR="00C20E50" w:rsidRPr="00BA6F56">
        <w:rPr>
          <w:b/>
        </w:rPr>
        <w:t xml:space="preserve"> è il </w:t>
      </w:r>
      <w:r w:rsidR="001F2B9E">
        <w:rPr>
          <w:b/>
        </w:rPr>
        <w:t xml:space="preserve">settimo e ultimo </w:t>
      </w:r>
      <w:r w:rsidR="00EE3FBB" w:rsidRPr="00BA6F56">
        <w:rPr>
          <w:b/>
        </w:rPr>
        <w:t xml:space="preserve">appuntamento </w:t>
      </w:r>
      <w:r w:rsidR="00C20E50" w:rsidRPr="00BA6F56">
        <w:rPr>
          <w:b/>
        </w:rPr>
        <w:t>del</w:t>
      </w:r>
      <w:r w:rsidR="00EE3FBB" w:rsidRPr="00BA6F56">
        <w:rPr>
          <w:b/>
        </w:rPr>
        <w:t xml:space="preserve"> </w:t>
      </w:r>
      <w:r w:rsidR="00EE3FBB" w:rsidRPr="006B13FC">
        <w:rPr>
          <w:b/>
          <w:i/>
        </w:rPr>
        <w:t>Sismografo - l’economia pugliese ai tempi del Covid-19</w:t>
      </w:r>
      <w:r w:rsidR="00EE3FBB" w:rsidRPr="00BA6F56">
        <w:rPr>
          <w:b/>
        </w:rPr>
        <w:t xml:space="preserve"> di </w:t>
      </w:r>
      <w:proofErr w:type="spellStart"/>
      <w:r w:rsidR="00EE3FBB" w:rsidRPr="00BA6F56">
        <w:rPr>
          <w:b/>
        </w:rPr>
        <w:t>Unioncamere</w:t>
      </w:r>
      <w:proofErr w:type="spellEnd"/>
      <w:r w:rsidR="00EE3FBB" w:rsidRPr="00BA6F56">
        <w:rPr>
          <w:b/>
        </w:rPr>
        <w:t xml:space="preserve"> Puglia, istantanee delle filiere portanti dell’economia pugliese prima del meteorite COVID. Dopo l’emergenza, quindi, scattarne un’altra per capire se e come il fenomeno avrà impattato sulle prospettive di sviluppo del nostro territorio.</w:t>
      </w:r>
    </w:p>
    <w:p w14:paraId="674D5E1F" w14:textId="4997CB16" w:rsidR="006B13FC" w:rsidRDefault="001F2B9E" w:rsidP="003378C5">
      <w:pPr>
        <w:spacing w:after="0"/>
        <w:ind w:left="709"/>
        <w:jc w:val="both"/>
        <w:rPr>
          <w:b/>
        </w:rPr>
      </w:pPr>
      <w:r>
        <w:rPr>
          <w:b/>
        </w:rPr>
        <w:t xml:space="preserve">I dati hanno riguardato i settori </w:t>
      </w:r>
      <w:r w:rsidR="00C20E50" w:rsidRPr="00BA6F56">
        <w:rPr>
          <w:b/>
        </w:rPr>
        <w:t>t</w:t>
      </w:r>
      <w:r w:rsidR="00EE3FBB" w:rsidRPr="00BA6F56">
        <w:rPr>
          <w:b/>
        </w:rPr>
        <w:t xml:space="preserve">urismo, </w:t>
      </w:r>
      <w:proofErr w:type="spellStart"/>
      <w:proofErr w:type="gramStart"/>
      <w:r w:rsidR="00EE3FBB" w:rsidRPr="00BA6F56">
        <w:rPr>
          <w:b/>
        </w:rPr>
        <w:t>food</w:t>
      </w:r>
      <w:proofErr w:type="spellEnd"/>
      <w:proofErr w:type="gramEnd"/>
      <w:r w:rsidR="00EE3FBB" w:rsidRPr="00BA6F56">
        <w:rPr>
          <w:b/>
        </w:rPr>
        <w:t xml:space="preserve">, commercio, </w:t>
      </w:r>
      <w:r w:rsidR="006B13FC">
        <w:rPr>
          <w:b/>
        </w:rPr>
        <w:t>meccatronica</w:t>
      </w:r>
      <w:r>
        <w:rPr>
          <w:b/>
        </w:rPr>
        <w:t xml:space="preserve">, costruzioni, legno arredo e moda. </w:t>
      </w:r>
      <w:r w:rsidR="006B13FC">
        <w:rPr>
          <w:b/>
        </w:rPr>
        <w:t xml:space="preserve"> </w:t>
      </w:r>
    </w:p>
    <w:p w14:paraId="28D725C9" w14:textId="76D8D892" w:rsidR="00EE3FBB" w:rsidRPr="00BA6F56" w:rsidRDefault="006B13FC" w:rsidP="003378C5">
      <w:pPr>
        <w:spacing w:after="0"/>
        <w:ind w:left="709"/>
        <w:jc w:val="both"/>
        <w:rPr>
          <w:b/>
        </w:rPr>
      </w:pPr>
      <w:r>
        <w:rPr>
          <w:b/>
        </w:rPr>
        <w:t>I</w:t>
      </w:r>
      <w:r w:rsidR="00EE3FBB" w:rsidRPr="00BA6F56">
        <w:rPr>
          <w:b/>
        </w:rPr>
        <w:t xml:space="preserve"> numeri di oggi </w:t>
      </w:r>
      <w:proofErr w:type="gramStart"/>
      <w:r>
        <w:rPr>
          <w:b/>
        </w:rPr>
        <w:t>vengono</w:t>
      </w:r>
      <w:proofErr w:type="gramEnd"/>
      <w:r>
        <w:rPr>
          <w:b/>
        </w:rPr>
        <w:t xml:space="preserve"> </w:t>
      </w:r>
      <w:r w:rsidR="00EE3FBB" w:rsidRPr="00BA6F56">
        <w:rPr>
          <w:b/>
        </w:rPr>
        <w:t xml:space="preserve">confrontati con quelli del 2014 e, in seguito, con quelli dei prossimi sei mesi. </w:t>
      </w:r>
    </w:p>
    <w:p w14:paraId="60D151E1" w14:textId="77777777" w:rsidR="00EE3FBB" w:rsidRPr="00022006" w:rsidRDefault="00EE3FBB" w:rsidP="003378C5">
      <w:pPr>
        <w:spacing w:after="0"/>
        <w:ind w:left="709"/>
        <w:jc w:val="both"/>
        <w:rPr>
          <w:sz w:val="24"/>
          <w:szCs w:val="24"/>
        </w:rPr>
      </w:pPr>
    </w:p>
    <w:p w14:paraId="5C897E2E" w14:textId="77777777" w:rsidR="00577ED4" w:rsidRDefault="001F2B9E" w:rsidP="003378C5">
      <w:pPr>
        <w:ind w:left="709"/>
        <w:jc w:val="both"/>
        <w:rPr>
          <w:sz w:val="24"/>
          <w:szCs w:val="24"/>
        </w:rPr>
      </w:pPr>
      <w:r w:rsidRPr="001F2B9E">
        <w:rPr>
          <w:sz w:val="24"/>
          <w:szCs w:val="24"/>
        </w:rPr>
        <w:t xml:space="preserve">Sono </w:t>
      </w:r>
      <w:r>
        <w:rPr>
          <w:sz w:val="24"/>
          <w:szCs w:val="24"/>
        </w:rPr>
        <w:t xml:space="preserve">oltre </w:t>
      </w:r>
      <w:r w:rsidRPr="003378C5">
        <w:rPr>
          <w:b/>
          <w:sz w:val="24"/>
          <w:szCs w:val="24"/>
        </w:rPr>
        <w:t xml:space="preserve">5mila </w:t>
      </w:r>
      <w:r w:rsidRPr="001F2B9E">
        <w:rPr>
          <w:sz w:val="24"/>
          <w:szCs w:val="24"/>
        </w:rPr>
        <w:t xml:space="preserve">le imprese che operano nel </w:t>
      </w:r>
      <w:proofErr w:type="gramStart"/>
      <w:r w:rsidRPr="003378C5">
        <w:rPr>
          <w:b/>
          <w:sz w:val="24"/>
          <w:szCs w:val="24"/>
        </w:rPr>
        <w:t>tessile-abbigliamento-calzature</w:t>
      </w:r>
      <w:proofErr w:type="gramEnd"/>
      <w:r w:rsidRPr="003378C5">
        <w:rPr>
          <w:b/>
          <w:sz w:val="24"/>
          <w:szCs w:val="24"/>
        </w:rPr>
        <w:t xml:space="preserve"> pugliese</w:t>
      </w:r>
      <w:r>
        <w:rPr>
          <w:sz w:val="24"/>
          <w:szCs w:val="24"/>
        </w:rPr>
        <w:t xml:space="preserve"> a fine 2019. </w:t>
      </w:r>
      <w:r w:rsidRPr="003378C5">
        <w:rPr>
          <w:b/>
          <w:sz w:val="24"/>
          <w:szCs w:val="24"/>
        </w:rPr>
        <w:t>Rispetto al 2014</w:t>
      </w:r>
      <w:r w:rsidRPr="001F2B9E">
        <w:rPr>
          <w:sz w:val="24"/>
          <w:szCs w:val="24"/>
        </w:rPr>
        <w:t xml:space="preserve"> nel comparto si contano complessivamente </w:t>
      </w:r>
      <w:r w:rsidRPr="003378C5">
        <w:rPr>
          <w:b/>
          <w:sz w:val="24"/>
          <w:szCs w:val="24"/>
        </w:rPr>
        <w:t>844 aziende in meno,</w:t>
      </w:r>
      <w:r>
        <w:rPr>
          <w:sz w:val="24"/>
          <w:szCs w:val="24"/>
        </w:rPr>
        <w:t xml:space="preserve"> una contrazione </w:t>
      </w:r>
      <w:r w:rsidRPr="001F2B9E">
        <w:rPr>
          <w:sz w:val="24"/>
          <w:szCs w:val="24"/>
        </w:rPr>
        <w:t>che</w:t>
      </w:r>
      <w:r>
        <w:rPr>
          <w:sz w:val="24"/>
          <w:szCs w:val="24"/>
        </w:rPr>
        <w:t xml:space="preserve">, </w:t>
      </w:r>
      <w:r w:rsidRPr="001F2B9E">
        <w:rPr>
          <w:sz w:val="24"/>
          <w:szCs w:val="24"/>
        </w:rPr>
        <w:t>per certi versi</w:t>
      </w:r>
      <w:r>
        <w:rPr>
          <w:sz w:val="24"/>
          <w:szCs w:val="24"/>
        </w:rPr>
        <w:t>,</w:t>
      </w:r>
      <w:r w:rsidRPr="001F2B9E">
        <w:rPr>
          <w:sz w:val="24"/>
          <w:szCs w:val="24"/>
        </w:rPr>
        <w:t xml:space="preserve"> ha caratteristiche simili a quella avvenuta anche nella meccatronica (con elementi di competitività, per chi rimane), per altri ricorda la contrazione delle imprese del legno-arredo (con le medesime dinamiche di concorrenza disruptive dei Paesi a costo basso di manodopera). </w:t>
      </w:r>
    </w:p>
    <w:p w14:paraId="20C2D840" w14:textId="0ADAEE24" w:rsidR="001F2B9E" w:rsidRDefault="001F2B9E" w:rsidP="003378C5">
      <w:pPr>
        <w:ind w:left="709"/>
        <w:jc w:val="both"/>
      </w:pPr>
      <w:r w:rsidRPr="001F2B9E">
        <w:rPr>
          <w:sz w:val="24"/>
          <w:szCs w:val="24"/>
        </w:rPr>
        <w:t xml:space="preserve">Particolarmente acuto nel passaggio 2014-2019 il depauperamento dell’universo dell’abbigliamento (558 imprese in meno), mentre nel tessile e nella pelle si </w:t>
      </w:r>
      <w:proofErr w:type="gramStart"/>
      <w:r w:rsidRPr="001F2B9E">
        <w:rPr>
          <w:sz w:val="24"/>
          <w:szCs w:val="24"/>
        </w:rPr>
        <w:t>va</w:t>
      </w:r>
      <w:proofErr w:type="gramEnd"/>
      <w:r w:rsidRPr="001F2B9E">
        <w:rPr>
          <w:sz w:val="24"/>
          <w:szCs w:val="24"/>
        </w:rPr>
        <w:t xml:space="preserve"> oltre le cento imprese perse per strada. Bollare però il fashion pugliese come un comparto in crisi tout court sarebbe un errore, come vedremo, perché vi sono elementi di competitività insperati, in mezzo a segnali negativi che pur non mancano.</w:t>
      </w:r>
      <w:r w:rsidRPr="001F2B9E">
        <w:t xml:space="preserve"> </w:t>
      </w:r>
    </w:p>
    <w:p w14:paraId="140DB623" w14:textId="7E1F0909" w:rsidR="001F2B9E" w:rsidRDefault="001F2B9E" w:rsidP="003378C5">
      <w:pPr>
        <w:ind w:left="709"/>
        <w:jc w:val="both"/>
        <w:rPr>
          <w:sz w:val="24"/>
          <w:szCs w:val="24"/>
        </w:rPr>
      </w:pPr>
      <w:r w:rsidRPr="003378C5">
        <w:rPr>
          <w:b/>
          <w:sz w:val="24"/>
          <w:szCs w:val="24"/>
        </w:rPr>
        <w:lastRenderedPageBreak/>
        <w:t>Nel settore operano 36.809 addetti, 5.593 dipendenti in meno del 2014</w:t>
      </w:r>
      <w:r w:rsidR="00577ED4">
        <w:rPr>
          <w:sz w:val="24"/>
          <w:szCs w:val="24"/>
        </w:rPr>
        <w:t xml:space="preserve">. </w:t>
      </w:r>
      <w:r w:rsidRPr="001F2B9E">
        <w:rPr>
          <w:sz w:val="24"/>
          <w:szCs w:val="24"/>
        </w:rPr>
        <w:t xml:space="preserve"> Si tratta di </w:t>
      </w:r>
      <w:proofErr w:type="gramStart"/>
      <w:r w:rsidRPr="001F2B9E">
        <w:rPr>
          <w:sz w:val="24"/>
          <w:szCs w:val="24"/>
        </w:rPr>
        <w:t xml:space="preserve">attività fortemente </w:t>
      </w:r>
      <w:proofErr w:type="spellStart"/>
      <w:r w:rsidRPr="001F2B9E">
        <w:rPr>
          <w:sz w:val="24"/>
          <w:szCs w:val="24"/>
        </w:rPr>
        <w:t>labour</w:t>
      </w:r>
      <w:proofErr w:type="spellEnd"/>
      <w:r w:rsidRPr="001F2B9E">
        <w:rPr>
          <w:sz w:val="24"/>
          <w:szCs w:val="24"/>
        </w:rPr>
        <w:t xml:space="preserve"> intensive</w:t>
      </w:r>
      <w:proofErr w:type="gramEnd"/>
      <w:r w:rsidRPr="001F2B9E">
        <w:rPr>
          <w:sz w:val="24"/>
          <w:szCs w:val="24"/>
        </w:rPr>
        <w:t>, il che è facilmente intuibile dall’ele</w:t>
      </w:r>
      <w:r w:rsidR="003378C5">
        <w:rPr>
          <w:sz w:val="24"/>
          <w:szCs w:val="24"/>
        </w:rPr>
        <w:t>vato numero medio di dipendenti.</w:t>
      </w:r>
    </w:p>
    <w:p w14:paraId="3CF2B336" w14:textId="51E02426" w:rsidR="001F2B9E" w:rsidRDefault="001F2B9E" w:rsidP="003378C5">
      <w:pPr>
        <w:ind w:left="709"/>
        <w:jc w:val="both"/>
        <w:rPr>
          <w:sz w:val="24"/>
          <w:szCs w:val="24"/>
        </w:rPr>
      </w:pPr>
      <w:r w:rsidRPr="001F2B9E">
        <w:rPr>
          <w:sz w:val="24"/>
          <w:szCs w:val="24"/>
        </w:rPr>
        <w:t xml:space="preserve">Fra le province, quella di Barletta Andria Trani domina la scena (31% delle aziende e 30% degli addetti): maglieria, calzature, </w:t>
      </w:r>
      <w:proofErr w:type="gramStart"/>
      <w:r w:rsidRPr="001F2B9E">
        <w:rPr>
          <w:sz w:val="24"/>
          <w:szCs w:val="24"/>
        </w:rPr>
        <w:t>intimo</w:t>
      </w:r>
      <w:proofErr w:type="gramEnd"/>
      <w:r w:rsidRPr="001F2B9E">
        <w:rPr>
          <w:sz w:val="24"/>
          <w:szCs w:val="24"/>
        </w:rPr>
        <w:t xml:space="preserve"> le specializzazioni produttive storiche.</w:t>
      </w:r>
    </w:p>
    <w:p w14:paraId="3B2710CA" w14:textId="1D36BC48" w:rsidR="001F2B9E" w:rsidRDefault="001F2B9E" w:rsidP="003378C5">
      <w:pPr>
        <w:ind w:left="709"/>
        <w:jc w:val="both"/>
        <w:rPr>
          <w:sz w:val="24"/>
          <w:szCs w:val="24"/>
        </w:rPr>
      </w:pPr>
      <w:r w:rsidRPr="003378C5">
        <w:rPr>
          <w:b/>
          <w:sz w:val="24"/>
          <w:szCs w:val="24"/>
        </w:rPr>
        <w:t xml:space="preserve">Il vertice del settore è costituito da </w:t>
      </w:r>
      <w:proofErr w:type="gramStart"/>
      <w:r w:rsidRPr="003378C5">
        <w:rPr>
          <w:b/>
          <w:sz w:val="24"/>
          <w:szCs w:val="24"/>
        </w:rPr>
        <w:t>5</w:t>
      </w:r>
      <w:proofErr w:type="gramEnd"/>
      <w:r w:rsidRPr="003378C5">
        <w:rPr>
          <w:b/>
          <w:sz w:val="24"/>
          <w:szCs w:val="24"/>
        </w:rPr>
        <w:t xml:space="preserve"> grandi aziende che superano i 50 mln di fatturato</w:t>
      </w:r>
      <w:r w:rsidRPr="001F2B9E">
        <w:rPr>
          <w:sz w:val="24"/>
          <w:szCs w:val="24"/>
        </w:rPr>
        <w:t xml:space="preserve"> e/o i 250 dipendenti e da 99 medie imprese con meno di 250 addetti e meno di 50 mln di € di fatturato. </w:t>
      </w:r>
      <w:r w:rsidRPr="003378C5">
        <w:rPr>
          <w:b/>
          <w:sz w:val="24"/>
          <w:szCs w:val="24"/>
        </w:rPr>
        <w:t xml:space="preserve">E’ un risultato di sorprendente vitalità, segno di un territorio che è riuscito a esprimere un buon numero </w:t>
      </w:r>
      <w:proofErr w:type="gramStart"/>
      <w:r w:rsidRPr="003378C5">
        <w:rPr>
          <w:b/>
          <w:sz w:val="24"/>
          <w:szCs w:val="24"/>
        </w:rPr>
        <w:t xml:space="preserve">di </w:t>
      </w:r>
      <w:proofErr w:type="gramEnd"/>
      <w:r w:rsidRPr="003378C5">
        <w:rPr>
          <w:b/>
          <w:sz w:val="24"/>
          <w:szCs w:val="24"/>
        </w:rPr>
        <w:t xml:space="preserve">imprese strutturate e concentrate,  che hanno fatto tutto con capitale pugliese. </w:t>
      </w:r>
      <w:r w:rsidRPr="001F2B9E">
        <w:rPr>
          <w:sz w:val="24"/>
          <w:szCs w:val="24"/>
        </w:rPr>
        <w:t xml:space="preserve">Il </w:t>
      </w:r>
      <w:proofErr w:type="gramStart"/>
      <w:r w:rsidRPr="001F2B9E">
        <w:rPr>
          <w:sz w:val="24"/>
          <w:szCs w:val="24"/>
        </w:rPr>
        <w:t>risvolto</w:t>
      </w:r>
      <w:proofErr w:type="gramEnd"/>
      <w:r w:rsidRPr="001F2B9E">
        <w:rPr>
          <w:sz w:val="24"/>
          <w:szCs w:val="24"/>
        </w:rPr>
        <w:t xml:space="preserve"> negativo della medaglia è che vi sono parecchie “medie imprese” che sono tali per numero di d</w:t>
      </w:r>
      <w:r>
        <w:rPr>
          <w:sz w:val="24"/>
          <w:szCs w:val="24"/>
        </w:rPr>
        <w:t xml:space="preserve">ipendenti, ma non per fatturato. </w:t>
      </w:r>
      <w:r w:rsidRPr="001F2B9E">
        <w:rPr>
          <w:sz w:val="24"/>
          <w:szCs w:val="24"/>
        </w:rPr>
        <w:t>Ciò suggerisce l’idea di un settore in cui la concorrenza internazionale limita la reddi</w:t>
      </w:r>
      <w:r w:rsidR="00577ED4">
        <w:rPr>
          <w:sz w:val="24"/>
          <w:szCs w:val="24"/>
        </w:rPr>
        <w:t>tività e gli spazi di crescita.</w:t>
      </w:r>
    </w:p>
    <w:p w14:paraId="551C7467" w14:textId="57E1D46C" w:rsidR="001F2B9E" w:rsidRPr="003378C5" w:rsidRDefault="001F2B9E" w:rsidP="003378C5">
      <w:pPr>
        <w:ind w:left="709"/>
        <w:jc w:val="both"/>
        <w:rPr>
          <w:b/>
          <w:sz w:val="24"/>
          <w:szCs w:val="24"/>
        </w:rPr>
      </w:pPr>
      <w:r w:rsidRPr="003378C5">
        <w:rPr>
          <w:b/>
          <w:sz w:val="24"/>
          <w:szCs w:val="24"/>
        </w:rPr>
        <w:t>Le classi di età</w:t>
      </w:r>
      <w:r w:rsidRPr="001F2B9E">
        <w:rPr>
          <w:sz w:val="24"/>
          <w:szCs w:val="24"/>
        </w:rPr>
        <w:t xml:space="preserve"> (per anno d’iscrizione al Registro Imprese) rivelano, come per il legno arredo, un settore con una forte continuità e tradizione: </w:t>
      </w:r>
      <w:r w:rsidRPr="003378C5">
        <w:rPr>
          <w:b/>
          <w:sz w:val="24"/>
          <w:szCs w:val="24"/>
        </w:rPr>
        <w:t xml:space="preserve">le aziende con più di </w:t>
      </w:r>
      <w:proofErr w:type="gramStart"/>
      <w:r w:rsidRPr="003378C5">
        <w:rPr>
          <w:b/>
          <w:sz w:val="24"/>
          <w:szCs w:val="24"/>
        </w:rPr>
        <w:t>10</w:t>
      </w:r>
      <w:proofErr w:type="gramEnd"/>
      <w:r w:rsidRPr="003378C5">
        <w:rPr>
          <w:b/>
          <w:sz w:val="24"/>
          <w:szCs w:val="24"/>
        </w:rPr>
        <w:t xml:space="preserve"> anni di attività sono due volte quelle con meno di 10. </w:t>
      </w:r>
    </w:p>
    <w:p w14:paraId="3FAA7AD2" w14:textId="7EAA7BB4" w:rsidR="001F2B9E" w:rsidRPr="001F2B9E" w:rsidRDefault="001F2B9E" w:rsidP="003378C5">
      <w:pPr>
        <w:ind w:left="709"/>
        <w:jc w:val="both"/>
        <w:rPr>
          <w:sz w:val="24"/>
          <w:szCs w:val="24"/>
        </w:rPr>
      </w:pPr>
      <w:r w:rsidRPr="001F2B9E">
        <w:rPr>
          <w:sz w:val="24"/>
          <w:szCs w:val="24"/>
        </w:rPr>
        <w:t xml:space="preserve">Nel tessile-abbigliamento-calzature </w:t>
      </w:r>
      <w:r w:rsidRPr="003378C5">
        <w:rPr>
          <w:b/>
          <w:sz w:val="24"/>
          <w:szCs w:val="24"/>
        </w:rPr>
        <w:t>pugliese il 45% delle aziende è costituito da società di capitali,</w:t>
      </w:r>
      <w:r w:rsidRPr="001F2B9E">
        <w:rPr>
          <w:sz w:val="24"/>
          <w:szCs w:val="24"/>
        </w:rPr>
        <w:t xml:space="preserve"> Degno di nota il fatto che le </w:t>
      </w:r>
      <w:proofErr w:type="gramStart"/>
      <w:r w:rsidRPr="001F2B9E">
        <w:rPr>
          <w:sz w:val="24"/>
          <w:szCs w:val="24"/>
        </w:rPr>
        <w:t>63</w:t>
      </w:r>
      <w:proofErr w:type="gramEnd"/>
      <w:r w:rsidRPr="001F2B9E">
        <w:rPr>
          <w:sz w:val="24"/>
          <w:szCs w:val="24"/>
        </w:rPr>
        <w:t xml:space="preserve"> aziende che nel 2019 hanno depositato un bilancio con più di 5 milioni di euro di fatturato sono tutte </w:t>
      </w:r>
      <w:proofErr w:type="spellStart"/>
      <w:r w:rsidRPr="001F2B9E">
        <w:rPr>
          <w:sz w:val="24"/>
          <w:szCs w:val="24"/>
        </w:rPr>
        <w:t>SpA</w:t>
      </w:r>
      <w:proofErr w:type="spellEnd"/>
      <w:r w:rsidRPr="001F2B9E">
        <w:rPr>
          <w:sz w:val="24"/>
          <w:szCs w:val="24"/>
        </w:rPr>
        <w:t xml:space="preserve"> o </w:t>
      </w:r>
      <w:proofErr w:type="spellStart"/>
      <w:r w:rsidRPr="001F2B9E">
        <w:rPr>
          <w:sz w:val="24"/>
          <w:szCs w:val="24"/>
        </w:rPr>
        <w:t>Srl</w:t>
      </w:r>
      <w:proofErr w:type="spellEnd"/>
      <w:r w:rsidRPr="001F2B9E">
        <w:rPr>
          <w:sz w:val="24"/>
          <w:szCs w:val="24"/>
        </w:rPr>
        <w:t>.</w:t>
      </w:r>
    </w:p>
    <w:p w14:paraId="55655571" w14:textId="62E34C46" w:rsidR="001F2B9E" w:rsidRDefault="001F2B9E" w:rsidP="003378C5">
      <w:pPr>
        <w:ind w:left="709"/>
        <w:jc w:val="both"/>
        <w:rPr>
          <w:sz w:val="24"/>
          <w:szCs w:val="24"/>
        </w:rPr>
      </w:pPr>
      <w:r w:rsidRPr="003378C5">
        <w:rPr>
          <w:b/>
          <w:sz w:val="24"/>
          <w:szCs w:val="24"/>
        </w:rPr>
        <w:t>Molto alta la presenza di aziende femminili (36,20%),</w:t>
      </w:r>
      <w:r w:rsidRPr="001F2B9E">
        <w:rPr>
          <w:sz w:val="24"/>
          <w:szCs w:val="24"/>
        </w:rPr>
        <w:t xml:space="preserve"> retaggio di </w:t>
      </w:r>
      <w:proofErr w:type="gramStart"/>
      <w:r w:rsidRPr="001F2B9E">
        <w:rPr>
          <w:sz w:val="24"/>
          <w:szCs w:val="24"/>
        </w:rPr>
        <w:t xml:space="preserve">una </w:t>
      </w:r>
      <w:proofErr w:type="gramEnd"/>
      <w:r w:rsidRPr="001F2B9E">
        <w:rPr>
          <w:sz w:val="24"/>
          <w:szCs w:val="24"/>
        </w:rPr>
        <w:t xml:space="preserve">antica tradizione nelle confezioni di intimo e abbigliamento e dell’importanza che le sarte di atelier hanno avuto nella nascita di altre specializzazioni sul territorio regionale (pensiamo soprattutto alla sposa o al capospalla formale). </w:t>
      </w:r>
    </w:p>
    <w:p w14:paraId="12CBFBB2" w14:textId="222465FE" w:rsidR="00577ED4" w:rsidRDefault="00577ED4" w:rsidP="003378C5">
      <w:pPr>
        <w:ind w:left="709"/>
        <w:jc w:val="both"/>
        <w:rPr>
          <w:sz w:val="24"/>
          <w:szCs w:val="24"/>
        </w:rPr>
      </w:pPr>
      <w:r w:rsidRPr="003378C5">
        <w:rPr>
          <w:b/>
          <w:sz w:val="24"/>
          <w:szCs w:val="24"/>
        </w:rPr>
        <w:t>Il settore fa segnare un risultato di 710 milioni di export nel 2019,</w:t>
      </w:r>
      <w:r w:rsidRPr="00577ED4">
        <w:rPr>
          <w:sz w:val="24"/>
          <w:szCs w:val="24"/>
        </w:rPr>
        <w:t xml:space="preserve"> in flessione rispetto ai 759 del 2018. E’ un dato però superiore al periodo post-crisi (676 mln di € del 2014).</w:t>
      </w:r>
      <w:r w:rsidRPr="00577ED4">
        <w:t xml:space="preserve"> </w:t>
      </w:r>
      <w:r w:rsidRPr="00577ED4">
        <w:rPr>
          <w:sz w:val="24"/>
          <w:szCs w:val="24"/>
        </w:rPr>
        <w:t xml:space="preserve">In materia di andamento settoriale, il 57% del valore delle esportazioni è merito </w:t>
      </w:r>
      <w:proofErr w:type="gramStart"/>
      <w:r w:rsidRPr="00577ED4">
        <w:rPr>
          <w:sz w:val="24"/>
          <w:szCs w:val="24"/>
        </w:rPr>
        <w:t>delle</w:t>
      </w:r>
      <w:proofErr w:type="gramEnd"/>
      <w:r w:rsidRPr="00577ED4">
        <w:rPr>
          <w:sz w:val="24"/>
          <w:szCs w:val="24"/>
        </w:rPr>
        <w:t xml:space="preserve"> calzature</w:t>
      </w:r>
      <w:r>
        <w:rPr>
          <w:sz w:val="24"/>
          <w:szCs w:val="24"/>
        </w:rPr>
        <w:t>.</w:t>
      </w:r>
    </w:p>
    <w:p w14:paraId="4866930E" w14:textId="6CFA61DE" w:rsidR="00577ED4" w:rsidRPr="001F2B9E" w:rsidRDefault="00577ED4" w:rsidP="003378C5">
      <w:pPr>
        <w:ind w:left="709"/>
        <w:jc w:val="both"/>
        <w:rPr>
          <w:sz w:val="24"/>
          <w:szCs w:val="24"/>
        </w:rPr>
      </w:pPr>
      <w:r w:rsidRPr="00577ED4">
        <w:rPr>
          <w:sz w:val="24"/>
          <w:szCs w:val="24"/>
        </w:rPr>
        <w:t xml:space="preserve">Analizzando gli ultimi tre bilanci (2016, 2017, 2018) depositati da 754 imprese del settore, la moda mostra risultati sorprendentemente positivi, al netto di qualche problematica, che pur non manca. La sensazione è </w:t>
      </w:r>
      <w:proofErr w:type="gramStart"/>
      <w:r w:rsidRPr="00577ED4">
        <w:rPr>
          <w:sz w:val="24"/>
          <w:szCs w:val="24"/>
        </w:rPr>
        <w:t>quella di</w:t>
      </w:r>
      <w:proofErr w:type="gramEnd"/>
      <w:r w:rsidRPr="00577ED4">
        <w:rPr>
          <w:sz w:val="24"/>
          <w:szCs w:val="24"/>
        </w:rPr>
        <w:t xml:space="preserve"> un settore molto polarizzato, in cui chi non ce la fa, chiude (e non sono pochi), mentre chi ce la fa, ha buone performance e crea sviluppo.</w:t>
      </w:r>
    </w:p>
    <w:p w14:paraId="1CBB015C" w14:textId="77777777" w:rsidR="00577ED4" w:rsidRDefault="00577ED4" w:rsidP="003378C5">
      <w:pPr>
        <w:spacing w:after="0"/>
        <w:ind w:left="708"/>
        <w:jc w:val="both"/>
        <w:rPr>
          <w:sz w:val="24"/>
          <w:szCs w:val="24"/>
        </w:rPr>
      </w:pPr>
      <w:r>
        <w:rPr>
          <w:sz w:val="24"/>
          <w:szCs w:val="24"/>
        </w:rPr>
        <w:t xml:space="preserve">Bari 22 aprile 2020 </w:t>
      </w:r>
    </w:p>
    <w:p w14:paraId="1F8A5E47" w14:textId="4D2FF911" w:rsidR="00683684" w:rsidRPr="00022006" w:rsidRDefault="00683684" w:rsidP="003378C5">
      <w:pPr>
        <w:spacing w:after="0"/>
        <w:ind w:left="708"/>
        <w:jc w:val="both"/>
        <w:rPr>
          <w:sz w:val="24"/>
          <w:szCs w:val="24"/>
        </w:rPr>
      </w:pPr>
      <w:r w:rsidRPr="00022006">
        <w:rPr>
          <w:sz w:val="24"/>
          <w:szCs w:val="24"/>
        </w:rPr>
        <w:t xml:space="preserve">Per l’ufficio stampa </w:t>
      </w:r>
      <w:proofErr w:type="spellStart"/>
      <w:r w:rsidRPr="00022006">
        <w:rPr>
          <w:sz w:val="24"/>
          <w:szCs w:val="24"/>
        </w:rPr>
        <w:t>Unioncamere</w:t>
      </w:r>
      <w:proofErr w:type="spellEnd"/>
      <w:r w:rsidRPr="00022006">
        <w:rPr>
          <w:sz w:val="24"/>
          <w:szCs w:val="24"/>
        </w:rPr>
        <w:t xml:space="preserve"> Puglia </w:t>
      </w:r>
    </w:p>
    <w:p w14:paraId="1A4F9D57" w14:textId="77777777" w:rsidR="00683684" w:rsidRPr="00022006" w:rsidRDefault="00683684" w:rsidP="003378C5">
      <w:pPr>
        <w:spacing w:after="0"/>
        <w:ind w:left="708"/>
        <w:jc w:val="both"/>
        <w:rPr>
          <w:sz w:val="24"/>
          <w:szCs w:val="24"/>
        </w:rPr>
      </w:pPr>
      <w:r w:rsidRPr="00022006">
        <w:rPr>
          <w:sz w:val="24"/>
          <w:szCs w:val="24"/>
        </w:rPr>
        <w:t xml:space="preserve">Chicca </w:t>
      </w:r>
      <w:proofErr w:type="spellStart"/>
      <w:r w:rsidRPr="00022006">
        <w:rPr>
          <w:sz w:val="24"/>
          <w:szCs w:val="24"/>
        </w:rPr>
        <w:t>Maralfa</w:t>
      </w:r>
      <w:proofErr w:type="spellEnd"/>
      <w:r w:rsidRPr="00022006">
        <w:rPr>
          <w:sz w:val="24"/>
          <w:szCs w:val="24"/>
        </w:rPr>
        <w:t xml:space="preserve"> 3385082862</w:t>
      </w:r>
    </w:p>
    <w:p w14:paraId="7B53DA62" w14:textId="77777777" w:rsidR="00022006" w:rsidRDefault="00022006" w:rsidP="003378C5">
      <w:pPr>
        <w:ind w:left="708"/>
        <w:jc w:val="both"/>
        <w:rPr>
          <w:b/>
          <w:sz w:val="24"/>
          <w:szCs w:val="24"/>
        </w:rPr>
      </w:pPr>
      <w:bookmarkStart w:id="0" w:name="_GoBack"/>
      <w:bookmarkEnd w:id="0"/>
    </w:p>
    <w:p w14:paraId="5AEDE241" w14:textId="77777777" w:rsidR="00022006" w:rsidRDefault="00022006" w:rsidP="00566E17">
      <w:pPr>
        <w:jc w:val="both"/>
        <w:rPr>
          <w:b/>
          <w:sz w:val="24"/>
          <w:szCs w:val="24"/>
        </w:rPr>
      </w:pPr>
      <w:r>
        <w:rPr>
          <w:b/>
          <w:sz w:val="24"/>
          <w:szCs w:val="24"/>
        </w:rPr>
        <w:t>In allegato il report completo con i grafici.</w:t>
      </w:r>
    </w:p>
    <w:p w14:paraId="730DACCE" w14:textId="77777777" w:rsidR="00683684" w:rsidRPr="00683684" w:rsidRDefault="00683684" w:rsidP="00566E17">
      <w:pPr>
        <w:jc w:val="both"/>
        <w:rPr>
          <w:b/>
          <w:sz w:val="24"/>
          <w:szCs w:val="24"/>
        </w:rPr>
      </w:pPr>
    </w:p>
    <w:p w14:paraId="6EAB48D4" w14:textId="77777777" w:rsidR="00566E17" w:rsidRDefault="00566E17" w:rsidP="00566E17">
      <w:pPr>
        <w:jc w:val="both"/>
        <w:rPr>
          <w:sz w:val="28"/>
          <w:szCs w:val="28"/>
        </w:rPr>
      </w:pPr>
    </w:p>
    <w:p w14:paraId="3C15DFBB" w14:textId="77777777" w:rsidR="00566E17" w:rsidRPr="00EE3FBB" w:rsidRDefault="00566E17" w:rsidP="00EE3FBB">
      <w:pPr>
        <w:jc w:val="both"/>
        <w:rPr>
          <w:sz w:val="24"/>
          <w:szCs w:val="24"/>
        </w:rPr>
      </w:pPr>
    </w:p>
    <w:p w14:paraId="2E34E65F" w14:textId="77777777" w:rsidR="00EE3FBB" w:rsidRPr="00EE3FBB" w:rsidRDefault="00EE3FBB" w:rsidP="00EE3FBB">
      <w:pPr>
        <w:jc w:val="both"/>
        <w:rPr>
          <w:sz w:val="24"/>
          <w:szCs w:val="24"/>
        </w:rPr>
      </w:pPr>
    </w:p>
    <w:p w14:paraId="3E769165" w14:textId="77777777" w:rsidR="005F6329" w:rsidRPr="00EE3FBB" w:rsidRDefault="005F6329" w:rsidP="000E4F1C">
      <w:pPr>
        <w:ind w:left="-426"/>
        <w:rPr>
          <w:sz w:val="24"/>
          <w:szCs w:val="24"/>
        </w:rPr>
      </w:pPr>
    </w:p>
    <w:sectPr w:rsidR="005F6329" w:rsidRPr="00EE3FBB" w:rsidSect="000E4F1C">
      <w:headerReference w:type="default" r:id="rId9"/>
      <w:pgSz w:w="11900" w:h="16840"/>
      <w:pgMar w:top="1417" w:right="1127"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014FF" w14:textId="77777777" w:rsidR="001F2B9E" w:rsidRDefault="001F2B9E" w:rsidP="000E4F1C">
      <w:pPr>
        <w:spacing w:after="0" w:line="240" w:lineRule="auto"/>
      </w:pPr>
      <w:r>
        <w:separator/>
      </w:r>
    </w:p>
  </w:endnote>
  <w:endnote w:type="continuationSeparator" w:id="0">
    <w:p w14:paraId="7EE8691C" w14:textId="77777777" w:rsidR="001F2B9E" w:rsidRDefault="001F2B9E" w:rsidP="000E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ileron Black">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4A316" w14:textId="77777777" w:rsidR="001F2B9E" w:rsidRDefault="001F2B9E" w:rsidP="000E4F1C">
      <w:pPr>
        <w:spacing w:after="0" w:line="240" w:lineRule="auto"/>
      </w:pPr>
      <w:r>
        <w:separator/>
      </w:r>
    </w:p>
  </w:footnote>
  <w:footnote w:type="continuationSeparator" w:id="0">
    <w:p w14:paraId="2AA77E0F" w14:textId="77777777" w:rsidR="001F2B9E" w:rsidRDefault="001F2B9E" w:rsidP="000E4F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40A0" w14:textId="77777777" w:rsidR="001F2B9E" w:rsidRDefault="001F2B9E" w:rsidP="000E4F1C">
    <w:pPr>
      <w:pStyle w:val="Intestazione"/>
      <w:ind w:left="-709" w:firstLine="709"/>
    </w:pPr>
    <w:r w:rsidRPr="00295E4D">
      <w:rPr>
        <w:noProof/>
      </w:rPr>
      <w:drawing>
        <wp:anchor distT="0" distB="0" distL="114300" distR="114300" simplePos="0" relativeHeight="251659264" behindDoc="0" locked="0" layoutInCell="1" allowOverlap="1" wp14:anchorId="2D162B15" wp14:editId="467F8165">
          <wp:simplePos x="0" y="0"/>
          <wp:positionH relativeFrom="column">
            <wp:posOffset>3543300</wp:posOffset>
          </wp:positionH>
          <wp:positionV relativeFrom="paragraph">
            <wp:posOffset>335915</wp:posOffset>
          </wp:positionV>
          <wp:extent cx="2141855" cy="748030"/>
          <wp:effectExtent l="0" t="0" r="0" b="0"/>
          <wp:wrapNone/>
          <wp:docPr id="2"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cstate="print"/>
                  <a:srcRect/>
                  <a:stretch>
                    <a:fillRect/>
                  </a:stretch>
                </pic:blipFill>
                <pic:spPr bwMode="auto">
                  <a:xfrm>
                    <a:off x="0" y="0"/>
                    <a:ext cx="2141855" cy="748030"/>
                  </a:xfrm>
                  <a:prstGeom prst="rect">
                    <a:avLst/>
                  </a:prstGeom>
                  <a:noFill/>
                  <a:ln w="9525">
                    <a:noFill/>
                    <a:miter lim="800000"/>
                    <a:headEnd/>
                    <a:tailEnd/>
                  </a:ln>
                </pic:spPr>
              </pic:pic>
            </a:graphicData>
          </a:graphic>
        </wp:anchor>
      </w:drawing>
    </w:r>
    <w:r>
      <w:rPr>
        <w:noProof/>
      </w:rPr>
      <w:drawing>
        <wp:inline distT="0" distB="0" distL="0" distR="0" wp14:anchorId="2493E572" wp14:editId="58D61384">
          <wp:extent cx="2496973" cy="1381930"/>
          <wp:effectExtent l="0" t="0" r="0" b="0"/>
          <wp:docPr id="3" name="Immagine 0" descr="il sismogra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 sismografo.jpg"/>
                  <pic:cNvPicPr/>
                </pic:nvPicPr>
                <pic:blipFill>
                  <a:blip r:embed="rId2" cstate="print"/>
                  <a:srcRect/>
                  <a:stretch>
                    <a:fillRect/>
                  </a:stretch>
                </pic:blipFill>
                <pic:spPr>
                  <a:xfrm>
                    <a:off x="0" y="0"/>
                    <a:ext cx="2497233" cy="138207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1C9"/>
    <w:multiLevelType w:val="hybridMultilevel"/>
    <w:tmpl w:val="689A6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1C"/>
    <w:rsid w:val="00022006"/>
    <w:rsid w:val="000D7304"/>
    <w:rsid w:val="000E4F1C"/>
    <w:rsid w:val="000F38AD"/>
    <w:rsid w:val="00151B78"/>
    <w:rsid w:val="001F2B9E"/>
    <w:rsid w:val="00257A80"/>
    <w:rsid w:val="003367B6"/>
    <w:rsid w:val="003378C5"/>
    <w:rsid w:val="0049126A"/>
    <w:rsid w:val="00566E17"/>
    <w:rsid w:val="00577ED4"/>
    <w:rsid w:val="005C50CF"/>
    <w:rsid w:val="005F6329"/>
    <w:rsid w:val="00683684"/>
    <w:rsid w:val="006B13FC"/>
    <w:rsid w:val="006C7005"/>
    <w:rsid w:val="008C24EE"/>
    <w:rsid w:val="00B169B5"/>
    <w:rsid w:val="00BA6F56"/>
    <w:rsid w:val="00BC5FB8"/>
    <w:rsid w:val="00C20E50"/>
    <w:rsid w:val="00C4369B"/>
    <w:rsid w:val="00DC2E5A"/>
    <w:rsid w:val="00EE3FBB"/>
    <w:rsid w:val="00F248B6"/>
    <w:rsid w:val="00FE14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808B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4F1C"/>
    <w:pPr>
      <w:spacing w:after="200" w:line="276" w:lineRule="auto"/>
    </w:pPr>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E4F1C"/>
    <w:pPr>
      <w:spacing w:after="0" w:line="240" w:lineRule="auto"/>
    </w:pPr>
    <w:rPr>
      <w:rFonts w:ascii="Lucida Grande" w:eastAsiaTheme="minorEastAsia" w:hAnsi="Lucida Grande" w:cs="Lucida Grande"/>
      <w:sz w:val="18"/>
      <w:szCs w:val="18"/>
      <w:lang w:eastAsia="it-IT"/>
    </w:rPr>
  </w:style>
  <w:style w:type="character" w:customStyle="1" w:styleId="TestofumettoCarattere">
    <w:name w:val="Testo fumetto Carattere"/>
    <w:basedOn w:val="Caratterepredefinitoparagrafo"/>
    <w:link w:val="Testofumetto"/>
    <w:uiPriority w:val="99"/>
    <w:semiHidden/>
    <w:rsid w:val="000E4F1C"/>
    <w:rPr>
      <w:rFonts w:ascii="Lucida Grande" w:hAnsi="Lucida Grande" w:cs="Lucida Grande"/>
      <w:sz w:val="18"/>
      <w:szCs w:val="18"/>
    </w:rPr>
  </w:style>
  <w:style w:type="paragraph" w:styleId="Intestazione">
    <w:name w:val="header"/>
    <w:basedOn w:val="Normale"/>
    <w:link w:val="IntestazioneCarattere"/>
    <w:uiPriority w:val="99"/>
    <w:unhideWhenUsed/>
    <w:rsid w:val="000E4F1C"/>
    <w:pPr>
      <w:tabs>
        <w:tab w:val="center" w:pos="4819"/>
        <w:tab w:val="right" w:pos="9638"/>
      </w:tabs>
      <w:spacing w:after="0" w:line="240" w:lineRule="auto"/>
    </w:pPr>
    <w:rPr>
      <w:rFonts w:eastAsiaTheme="minorEastAsia"/>
      <w:sz w:val="24"/>
      <w:szCs w:val="24"/>
      <w:lang w:eastAsia="it-IT"/>
    </w:rPr>
  </w:style>
  <w:style w:type="character" w:customStyle="1" w:styleId="IntestazioneCarattere">
    <w:name w:val="Intestazione Carattere"/>
    <w:basedOn w:val="Caratterepredefinitoparagrafo"/>
    <w:link w:val="Intestazione"/>
    <w:uiPriority w:val="99"/>
    <w:rsid w:val="000E4F1C"/>
  </w:style>
  <w:style w:type="paragraph" w:styleId="Pidipagina">
    <w:name w:val="footer"/>
    <w:basedOn w:val="Normale"/>
    <w:link w:val="PidipaginaCarattere"/>
    <w:uiPriority w:val="99"/>
    <w:unhideWhenUsed/>
    <w:rsid w:val="000E4F1C"/>
    <w:pPr>
      <w:tabs>
        <w:tab w:val="center" w:pos="4819"/>
        <w:tab w:val="right" w:pos="9638"/>
      </w:tabs>
      <w:spacing w:after="0" w:line="240" w:lineRule="auto"/>
    </w:pPr>
    <w:rPr>
      <w:rFonts w:eastAsiaTheme="minorEastAsia"/>
      <w:sz w:val="24"/>
      <w:szCs w:val="24"/>
      <w:lang w:eastAsia="it-IT"/>
    </w:rPr>
  </w:style>
  <w:style w:type="character" w:customStyle="1" w:styleId="PidipaginaCarattere">
    <w:name w:val="Piè di pagina Carattere"/>
    <w:basedOn w:val="Caratterepredefinitoparagrafo"/>
    <w:link w:val="Pidipagina"/>
    <w:uiPriority w:val="99"/>
    <w:rsid w:val="000E4F1C"/>
  </w:style>
  <w:style w:type="table" w:styleId="Grigliatabella">
    <w:name w:val="Table Grid"/>
    <w:basedOn w:val="Tabellanormale"/>
    <w:uiPriority w:val="59"/>
    <w:rsid w:val="000E4F1C"/>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FE14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4F1C"/>
    <w:pPr>
      <w:spacing w:after="200" w:line="276" w:lineRule="auto"/>
    </w:pPr>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E4F1C"/>
    <w:pPr>
      <w:spacing w:after="0" w:line="240" w:lineRule="auto"/>
    </w:pPr>
    <w:rPr>
      <w:rFonts w:ascii="Lucida Grande" w:eastAsiaTheme="minorEastAsia" w:hAnsi="Lucida Grande" w:cs="Lucida Grande"/>
      <w:sz w:val="18"/>
      <w:szCs w:val="18"/>
      <w:lang w:eastAsia="it-IT"/>
    </w:rPr>
  </w:style>
  <w:style w:type="character" w:customStyle="1" w:styleId="TestofumettoCarattere">
    <w:name w:val="Testo fumetto Carattere"/>
    <w:basedOn w:val="Caratterepredefinitoparagrafo"/>
    <w:link w:val="Testofumetto"/>
    <w:uiPriority w:val="99"/>
    <w:semiHidden/>
    <w:rsid w:val="000E4F1C"/>
    <w:rPr>
      <w:rFonts w:ascii="Lucida Grande" w:hAnsi="Lucida Grande" w:cs="Lucida Grande"/>
      <w:sz w:val="18"/>
      <w:szCs w:val="18"/>
    </w:rPr>
  </w:style>
  <w:style w:type="paragraph" w:styleId="Intestazione">
    <w:name w:val="header"/>
    <w:basedOn w:val="Normale"/>
    <w:link w:val="IntestazioneCarattere"/>
    <w:uiPriority w:val="99"/>
    <w:unhideWhenUsed/>
    <w:rsid w:val="000E4F1C"/>
    <w:pPr>
      <w:tabs>
        <w:tab w:val="center" w:pos="4819"/>
        <w:tab w:val="right" w:pos="9638"/>
      </w:tabs>
      <w:spacing w:after="0" w:line="240" w:lineRule="auto"/>
    </w:pPr>
    <w:rPr>
      <w:rFonts w:eastAsiaTheme="minorEastAsia"/>
      <w:sz w:val="24"/>
      <w:szCs w:val="24"/>
      <w:lang w:eastAsia="it-IT"/>
    </w:rPr>
  </w:style>
  <w:style w:type="character" w:customStyle="1" w:styleId="IntestazioneCarattere">
    <w:name w:val="Intestazione Carattere"/>
    <w:basedOn w:val="Caratterepredefinitoparagrafo"/>
    <w:link w:val="Intestazione"/>
    <w:uiPriority w:val="99"/>
    <w:rsid w:val="000E4F1C"/>
  </w:style>
  <w:style w:type="paragraph" w:styleId="Pidipagina">
    <w:name w:val="footer"/>
    <w:basedOn w:val="Normale"/>
    <w:link w:val="PidipaginaCarattere"/>
    <w:uiPriority w:val="99"/>
    <w:unhideWhenUsed/>
    <w:rsid w:val="000E4F1C"/>
    <w:pPr>
      <w:tabs>
        <w:tab w:val="center" w:pos="4819"/>
        <w:tab w:val="right" w:pos="9638"/>
      </w:tabs>
      <w:spacing w:after="0" w:line="240" w:lineRule="auto"/>
    </w:pPr>
    <w:rPr>
      <w:rFonts w:eastAsiaTheme="minorEastAsia"/>
      <w:sz w:val="24"/>
      <w:szCs w:val="24"/>
      <w:lang w:eastAsia="it-IT"/>
    </w:rPr>
  </w:style>
  <w:style w:type="character" w:customStyle="1" w:styleId="PidipaginaCarattere">
    <w:name w:val="Piè di pagina Carattere"/>
    <w:basedOn w:val="Caratterepredefinitoparagrafo"/>
    <w:link w:val="Pidipagina"/>
    <w:uiPriority w:val="99"/>
    <w:rsid w:val="000E4F1C"/>
  </w:style>
  <w:style w:type="table" w:styleId="Grigliatabella">
    <w:name w:val="Table Grid"/>
    <w:basedOn w:val="Tabellanormale"/>
    <w:uiPriority w:val="59"/>
    <w:rsid w:val="000E4F1C"/>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FE1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1143-CEC6-0043-887D-7A492011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623</Words>
  <Characters>3552</Characters>
  <Application>Microsoft Macintosh Word</Application>
  <DocSecurity>0</DocSecurity>
  <Lines>29</Lines>
  <Paragraphs>8</Paragraphs>
  <ScaleCrop>false</ScaleCrop>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3</cp:revision>
  <dcterms:created xsi:type="dcterms:W3CDTF">2020-04-22T09:33:00Z</dcterms:created>
  <dcterms:modified xsi:type="dcterms:W3CDTF">2020-04-22T10:15:00Z</dcterms:modified>
</cp:coreProperties>
</file>