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E934F" w14:textId="77777777" w:rsidR="003045F5" w:rsidRDefault="001120B0" w:rsidP="003045F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6CCC3D0" wp14:editId="4880C74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63750" cy="1143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mograf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60E65" w14:textId="77777777" w:rsidR="003045F5" w:rsidRDefault="003045F5" w:rsidP="003045F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F699190" wp14:editId="6001FF94">
            <wp:extent cx="2635560" cy="925824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oncamere-pugl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74" cy="92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52DD" w14:textId="642CCF03" w:rsidR="005F6801" w:rsidRPr="005F6801" w:rsidRDefault="003045F5" w:rsidP="005F6801">
      <w:pPr>
        <w:jc w:val="right"/>
        <w:rPr>
          <w:rFonts w:ascii="Aileron Black" w:hAnsi="Aileron Black"/>
          <w:b/>
          <w:color w:val="000000" w:themeColor="text1"/>
          <w:sz w:val="56"/>
          <w:szCs w:val="56"/>
        </w:rPr>
      </w:pPr>
      <w:r w:rsidRPr="005F6801">
        <w:rPr>
          <w:rFonts w:ascii="Aileron Black" w:hAnsi="Aileron Black"/>
          <w:b/>
          <w:color w:val="000000" w:themeColor="text1"/>
          <w:sz w:val="72"/>
          <w:szCs w:val="72"/>
        </w:rPr>
        <w:t xml:space="preserve">2.il </w:t>
      </w:r>
      <w:proofErr w:type="spellStart"/>
      <w:r w:rsidRPr="005F6801">
        <w:rPr>
          <w:rFonts w:ascii="Aileron Black" w:hAnsi="Aileron Black"/>
          <w:b/>
          <w:color w:val="000000" w:themeColor="text1"/>
          <w:sz w:val="72"/>
          <w:szCs w:val="72"/>
        </w:rPr>
        <w:t>food</w:t>
      </w:r>
      <w:proofErr w:type="spellEnd"/>
      <w:r w:rsidR="005F6801" w:rsidRPr="005F6801">
        <w:rPr>
          <w:rFonts w:ascii="Aileron Black" w:hAnsi="Aileron Black"/>
          <w:b/>
          <w:color w:val="000000" w:themeColor="text1"/>
          <w:sz w:val="72"/>
          <w:szCs w:val="72"/>
        </w:rPr>
        <w:t>,</w:t>
      </w:r>
      <w:r w:rsidR="005F6801" w:rsidRPr="005F6801">
        <w:rPr>
          <w:rFonts w:ascii="Aileron Black" w:hAnsi="Aileron Black"/>
          <w:b/>
          <w:color w:val="000000" w:themeColor="text1"/>
          <w:sz w:val="32"/>
          <w:szCs w:val="32"/>
        </w:rPr>
        <w:t xml:space="preserve"> come è, come era, come sarà?</w:t>
      </w:r>
      <w:bookmarkStart w:id="0" w:name="_GoBack"/>
      <w:bookmarkEnd w:id="0"/>
    </w:p>
    <w:p w14:paraId="70E02F4F" w14:textId="609CC404" w:rsidR="00C10386" w:rsidRPr="00C10386" w:rsidRDefault="003045F5" w:rsidP="00C10386">
      <w:pPr>
        <w:jc w:val="right"/>
        <w:rPr>
          <w:rFonts w:ascii="Aileron Black" w:hAnsi="Aileron Black"/>
          <w:b/>
          <w:bCs/>
          <w:color w:val="595959" w:themeColor="text1" w:themeTint="A6"/>
          <w:sz w:val="48"/>
          <w:szCs w:val="48"/>
          <w:u w:val="single"/>
        </w:rPr>
      </w:pPr>
      <w:r w:rsidRPr="00C10386">
        <w:rPr>
          <w:rFonts w:ascii="Aileron Black" w:hAnsi="Aileron Black"/>
          <w:b/>
          <w:bCs/>
          <w:color w:val="595959" w:themeColor="text1" w:themeTint="A6"/>
          <w:sz w:val="48"/>
          <w:szCs w:val="48"/>
          <w:u w:val="single"/>
        </w:rPr>
        <w:t>Comunicato stampa</w:t>
      </w:r>
    </w:p>
    <w:p w14:paraId="7918BD78" w14:textId="77777777" w:rsidR="00C10386" w:rsidRDefault="00C10386" w:rsidP="003045F5">
      <w:pPr>
        <w:jc w:val="right"/>
        <w:rPr>
          <w:rFonts w:ascii="Aileron Black" w:hAnsi="Aileron Black"/>
          <w:b/>
          <w:bCs/>
          <w:color w:val="FF0000"/>
          <w:sz w:val="48"/>
          <w:szCs w:val="48"/>
        </w:rPr>
      </w:pPr>
    </w:p>
    <w:p w14:paraId="4C7A9CA5" w14:textId="00D4702D" w:rsidR="00C10386" w:rsidRPr="00C10386" w:rsidRDefault="00C10386" w:rsidP="003045F5">
      <w:pPr>
        <w:jc w:val="right"/>
        <w:rPr>
          <w:rFonts w:ascii="Aileron Black" w:hAnsi="Aileron Black"/>
          <w:b/>
          <w:bCs/>
          <w:color w:val="FF0000"/>
          <w:sz w:val="48"/>
          <w:szCs w:val="48"/>
        </w:rPr>
      </w:pPr>
      <w:proofErr w:type="spellStart"/>
      <w:proofErr w:type="gramStart"/>
      <w:r w:rsidRPr="00C10386">
        <w:rPr>
          <w:rFonts w:ascii="Aileron Black" w:hAnsi="Aileron Black"/>
          <w:b/>
          <w:bCs/>
          <w:color w:val="FF0000"/>
          <w:sz w:val="48"/>
          <w:szCs w:val="48"/>
        </w:rPr>
        <w:t>Food</w:t>
      </w:r>
      <w:proofErr w:type="spellEnd"/>
      <w:proofErr w:type="gramEnd"/>
      <w:r w:rsidRPr="00C10386">
        <w:rPr>
          <w:rFonts w:ascii="Aileron Black" w:hAnsi="Aileron Black"/>
          <w:b/>
          <w:bCs/>
          <w:color w:val="FF0000"/>
          <w:sz w:val="48"/>
          <w:szCs w:val="48"/>
        </w:rPr>
        <w:t>: un comparto in rimodulazione</w:t>
      </w:r>
    </w:p>
    <w:p w14:paraId="6383D60B" w14:textId="10E190EC" w:rsidR="00C10386" w:rsidRDefault="00C10386" w:rsidP="003045F5">
      <w:pPr>
        <w:jc w:val="right"/>
        <w:rPr>
          <w:rFonts w:ascii="Aileron Black" w:hAnsi="Aileron Black"/>
          <w:b/>
          <w:bCs/>
          <w:i/>
          <w:color w:val="595959" w:themeColor="text1" w:themeTint="A6"/>
          <w:sz w:val="36"/>
          <w:szCs w:val="36"/>
        </w:rPr>
      </w:pPr>
      <w:r w:rsidRPr="00C10386">
        <w:rPr>
          <w:rFonts w:ascii="Aileron Black" w:hAnsi="Aileron Black"/>
          <w:b/>
          <w:bCs/>
          <w:i/>
          <w:color w:val="595959" w:themeColor="text1" w:themeTint="A6"/>
          <w:sz w:val="36"/>
          <w:szCs w:val="36"/>
        </w:rPr>
        <w:t>Concentrazione dell’offerta e spostamento in direzione dell’industria</w:t>
      </w:r>
    </w:p>
    <w:p w14:paraId="16D83E23" w14:textId="452993A3" w:rsidR="00C10386" w:rsidRDefault="00C10386" w:rsidP="00C10386">
      <w:pPr>
        <w:jc w:val="right"/>
        <w:rPr>
          <w:rFonts w:ascii="Aileron Black" w:hAnsi="Aileron Black"/>
          <w:b/>
          <w:bCs/>
          <w:i/>
          <w:color w:val="595959" w:themeColor="text1" w:themeTint="A6"/>
          <w:sz w:val="36"/>
          <w:szCs w:val="36"/>
        </w:rPr>
      </w:pPr>
      <w:r>
        <w:rPr>
          <w:rFonts w:ascii="Aileron Black" w:hAnsi="Aileron Black"/>
          <w:b/>
          <w:bCs/>
          <w:i/>
          <w:color w:val="595959" w:themeColor="text1" w:themeTint="A6"/>
          <w:sz w:val="36"/>
          <w:szCs w:val="36"/>
        </w:rPr>
        <w:t>Aumentano gli investimenti e la fiducia</w:t>
      </w:r>
    </w:p>
    <w:p w14:paraId="6711B58B" w14:textId="77777777" w:rsidR="00C10386" w:rsidRPr="00C10386" w:rsidRDefault="00C10386" w:rsidP="00C10386">
      <w:pPr>
        <w:jc w:val="right"/>
        <w:rPr>
          <w:rFonts w:ascii="Aileron Black" w:hAnsi="Aileron Black"/>
          <w:b/>
          <w:bCs/>
          <w:i/>
          <w:color w:val="595959" w:themeColor="text1" w:themeTint="A6"/>
          <w:sz w:val="36"/>
          <w:szCs w:val="36"/>
        </w:rPr>
      </w:pPr>
    </w:p>
    <w:p w14:paraId="574F488F" w14:textId="77777777" w:rsidR="001120B0" w:rsidRPr="00C10386" w:rsidRDefault="003045F5" w:rsidP="001120B0">
      <w:pPr>
        <w:jc w:val="both"/>
      </w:pPr>
      <w:r w:rsidRPr="00C10386">
        <w:t xml:space="preserve">Secondo appuntamento con il </w:t>
      </w:r>
      <w:r w:rsidRPr="00C10386">
        <w:rPr>
          <w:b/>
        </w:rPr>
        <w:t>Sismografo - l’economia pugliese ai tempi del Covid-19</w:t>
      </w:r>
      <w:r w:rsidRPr="00C10386">
        <w:t xml:space="preserve"> di </w:t>
      </w:r>
      <w:proofErr w:type="spellStart"/>
      <w:r w:rsidRPr="00C10386">
        <w:t>Unioncamere</w:t>
      </w:r>
      <w:proofErr w:type="spellEnd"/>
      <w:r w:rsidRPr="00C10386">
        <w:t xml:space="preserve"> Puglia, istantanee delle filiere portanti</w:t>
      </w:r>
      <w:r w:rsidR="001120B0" w:rsidRPr="00C10386">
        <w:t xml:space="preserve"> dell’economia pugliese</w:t>
      </w:r>
      <w:r w:rsidR="00990242" w:rsidRPr="00C10386">
        <w:t>:</w:t>
      </w:r>
      <w:r w:rsidR="001120B0" w:rsidRPr="00C10386">
        <w:t xml:space="preserve"> turismo</w:t>
      </w:r>
      <w:r w:rsidR="00990242" w:rsidRPr="00C10386">
        <w:t xml:space="preserve">, </w:t>
      </w:r>
      <w:proofErr w:type="spellStart"/>
      <w:proofErr w:type="gramStart"/>
      <w:r w:rsidR="001120B0" w:rsidRPr="00C10386">
        <w:t>food</w:t>
      </w:r>
      <w:proofErr w:type="spellEnd"/>
      <w:proofErr w:type="gramEnd"/>
      <w:r w:rsidR="001120B0" w:rsidRPr="00C10386">
        <w:t xml:space="preserve">, commercio, meccanica, costruzioni, legno arredo, moda. </w:t>
      </w:r>
      <w:proofErr w:type="gramStart"/>
      <w:r w:rsidR="001120B0" w:rsidRPr="00C10386">
        <w:t>I numeri di oggi confrontati con quelli del 2014 e, in seguito, con quelli dei prossimi sei mesi</w:t>
      </w:r>
      <w:proofErr w:type="gramEnd"/>
      <w:r w:rsidR="001120B0" w:rsidRPr="00C10386">
        <w:t xml:space="preserve">. </w:t>
      </w:r>
    </w:p>
    <w:p w14:paraId="179F6959" w14:textId="77777777" w:rsidR="003045F5" w:rsidRPr="00C10386" w:rsidRDefault="001120B0" w:rsidP="003045F5">
      <w:pPr>
        <w:jc w:val="both"/>
      </w:pPr>
      <w:r w:rsidRPr="00C10386">
        <w:t xml:space="preserve">Dopo il Turismo è la volta del </w:t>
      </w:r>
      <w:proofErr w:type="spellStart"/>
      <w:proofErr w:type="gramStart"/>
      <w:r w:rsidRPr="00C10386">
        <w:t>Food</w:t>
      </w:r>
      <w:proofErr w:type="spellEnd"/>
      <w:proofErr w:type="gramEnd"/>
      <w:r w:rsidRPr="00C10386">
        <w:t xml:space="preserve">, un settore in cui,  a fine 2019, </w:t>
      </w:r>
      <w:r w:rsidR="002C775E" w:rsidRPr="00C10386">
        <w:t xml:space="preserve">operano </w:t>
      </w:r>
      <w:r w:rsidR="00047585" w:rsidRPr="00C10386">
        <w:t xml:space="preserve">quasi </w:t>
      </w:r>
      <w:r w:rsidR="00047585" w:rsidRPr="00C10386">
        <w:rPr>
          <w:b/>
        </w:rPr>
        <w:t>79mila</w:t>
      </w:r>
      <w:r w:rsidR="003045F5" w:rsidRPr="00C10386">
        <w:rPr>
          <w:b/>
        </w:rPr>
        <w:t xml:space="preserve"> </w:t>
      </w:r>
      <w:r w:rsidRPr="00C10386">
        <w:t xml:space="preserve">imprese. </w:t>
      </w:r>
      <w:r w:rsidR="003045F5" w:rsidRPr="00C10386">
        <w:t>Per consistenza numerica è forte il peso dell’</w:t>
      </w:r>
      <w:r w:rsidR="003045F5" w:rsidRPr="00C10386">
        <w:rPr>
          <w:b/>
        </w:rPr>
        <w:t>agricoltura</w:t>
      </w:r>
      <w:r w:rsidR="003045F5" w:rsidRPr="00C10386">
        <w:t xml:space="preserve">, </w:t>
      </w:r>
      <w:r w:rsidR="00047585" w:rsidRPr="00C10386">
        <w:rPr>
          <w:b/>
        </w:rPr>
        <w:t>circa 70mila</w:t>
      </w:r>
      <w:r w:rsidR="003045F5" w:rsidRPr="00C10386">
        <w:t xml:space="preserve"> aziende, di cui circa i due terzi impegnate in</w:t>
      </w:r>
      <w:r w:rsidR="000B3612" w:rsidRPr="00C10386">
        <w:t xml:space="preserve"> olivicoltura, vigneti,</w:t>
      </w:r>
      <w:r w:rsidR="003045F5" w:rsidRPr="00C10386">
        <w:t xml:space="preserve"> frutticoltura</w:t>
      </w:r>
      <w:r w:rsidR="002C775E" w:rsidRPr="00C10386">
        <w:t xml:space="preserve">. La restante parte </w:t>
      </w:r>
      <w:r w:rsidR="003045F5" w:rsidRPr="00C10386">
        <w:t>è attiv</w:t>
      </w:r>
      <w:r w:rsidR="002C775E" w:rsidRPr="00C10386">
        <w:t xml:space="preserve">a </w:t>
      </w:r>
      <w:r w:rsidR="003045F5" w:rsidRPr="00C10386">
        <w:t xml:space="preserve">nella coltivazione di ortaggi, cereali e legumi. </w:t>
      </w:r>
      <w:r w:rsidR="000B3612" w:rsidRPr="00C10386">
        <w:t xml:space="preserve"> A dominare largamente la scena è l’olivicoltura, che ha quasi la metà dei dati dell’intero comparto agricolo.</w:t>
      </w:r>
    </w:p>
    <w:p w14:paraId="5999352D" w14:textId="77777777" w:rsidR="003045F5" w:rsidRPr="00C10386" w:rsidRDefault="003045F5" w:rsidP="003045F5">
      <w:pPr>
        <w:jc w:val="both"/>
      </w:pPr>
      <w:r w:rsidRPr="00C10386">
        <w:t xml:space="preserve">Le </w:t>
      </w:r>
      <w:r w:rsidRPr="00C10386">
        <w:rPr>
          <w:b/>
        </w:rPr>
        <w:t>aziende di trasformazione alimentare</w:t>
      </w:r>
      <w:r w:rsidRPr="00C10386">
        <w:t xml:space="preserve"> sono invece </w:t>
      </w:r>
      <w:r w:rsidR="00047585" w:rsidRPr="00C10386">
        <w:t>quasi 6</w:t>
      </w:r>
      <w:r w:rsidR="002C775E" w:rsidRPr="00C10386">
        <w:t>mila</w:t>
      </w:r>
      <w:r w:rsidR="00047585" w:rsidRPr="00C10386">
        <w:t xml:space="preserve">. </w:t>
      </w:r>
      <w:r w:rsidRPr="00C10386">
        <w:t>Seguono le 1.981 imprese dell’</w:t>
      </w:r>
      <w:r w:rsidRPr="00C10386">
        <w:rPr>
          <w:b/>
        </w:rPr>
        <w:t>allevamento</w:t>
      </w:r>
      <w:r w:rsidRPr="00C10386">
        <w:t xml:space="preserve"> e le 774 della </w:t>
      </w:r>
      <w:r w:rsidRPr="00C10386">
        <w:rPr>
          <w:b/>
        </w:rPr>
        <w:t>pesca e acquacoltura</w:t>
      </w:r>
      <w:r w:rsidRPr="00C10386">
        <w:t xml:space="preserve"> (con la seconda che ormai è un quarto della prima come numero di aziende). </w:t>
      </w:r>
    </w:p>
    <w:p w14:paraId="6599E1E0" w14:textId="77777777" w:rsidR="003045F5" w:rsidRPr="00C10386" w:rsidRDefault="003045F5" w:rsidP="003045F5">
      <w:pPr>
        <w:jc w:val="both"/>
      </w:pPr>
      <w:r w:rsidRPr="00C10386">
        <w:rPr>
          <w:b/>
        </w:rPr>
        <w:t>Rispetto al 2014</w:t>
      </w:r>
      <w:r w:rsidRPr="00C10386">
        <w:t xml:space="preserve"> vi è stata </w:t>
      </w:r>
      <w:r w:rsidRPr="00C10386">
        <w:rPr>
          <w:b/>
        </w:rPr>
        <w:t xml:space="preserve">una </w:t>
      </w:r>
      <w:proofErr w:type="gramStart"/>
      <w:r w:rsidRPr="00C10386">
        <w:rPr>
          <w:b/>
        </w:rPr>
        <w:t>significativa</w:t>
      </w:r>
      <w:proofErr w:type="gramEnd"/>
      <w:r w:rsidRPr="00C10386">
        <w:rPr>
          <w:b/>
        </w:rPr>
        <w:t xml:space="preserve"> rimodulazione del comparto nel suo insieme</w:t>
      </w:r>
      <w:r w:rsidRPr="00C10386">
        <w:t>, con una contrazione del dat</w:t>
      </w:r>
      <w:r w:rsidR="00EE609A" w:rsidRPr="00C10386">
        <w:t>o dell’agricoltura</w:t>
      </w:r>
      <w:r w:rsidR="002C775E" w:rsidRPr="00C10386">
        <w:t xml:space="preserve">: </w:t>
      </w:r>
      <w:r w:rsidR="00EE609A" w:rsidRPr="00C10386">
        <w:t xml:space="preserve"> </w:t>
      </w:r>
      <w:r w:rsidRPr="00C10386">
        <w:t xml:space="preserve">612 aziende in meno </w:t>
      </w:r>
      <w:r w:rsidR="00636276" w:rsidRPr="00C10386">
        <w:t>nel settore d</w:t>
      </w:r>
      <w:r w:rsidR="00EE609A" w:rsidRPr="00C10386">
        <w:t>elle colture arboree</w:t>
      </w:r>
      <w:r w:rsidRPr="00C10386">
        <w:t xml:space="preserve"> e un aumento delle industrie alimentari (+44) e delle bevande (+54). </w:t>
      </w:r>
      <w:proofErr w:type="gramStart"/>
      <w:r w:rsidR="00047585" w:rsidRPr="00C10386">
        <w:t>Probabili</w:t>
      </w:r>
      <w:r w:rsidRPr="00C10386">
        <w:t xml:space="preserve"> segn</w:t>
      </w:r>
      <w:r w:rsidR="00047585" w:rsidRPr="00C10386">
        <w:t>ali</w:t>
      </w:r>
      <w:r w:rsidRPr="00C10386">
        <w:t xml:space="preserve"> di</w:t>
      </w:r>
      <w:r w:rsidR="00EE609A" w:rsidRPr="00C10386">
        <w:t xml:space="preserve"> </w:t>
      </w:r>
      <w:r w:rsidR="00047585" w:rsidRPr="00C10386">
        <w:t xml:space="preserve">una </w:t>
      </w:r>
      <w:r w:rsidR="00EE609A" w:rsidRPr="00C10386">
        <w:rPr>
          <w:b/>
        </w:rPr>
        <w:t xml:space="preserve">concentrazione dell’offerta nel mondo agricolo </w:t>
      </w:r>
      <w:r w:rsidR="00EE609A" w:rsidRPr="00C10386">
        <w:t>e di</w:t>
      </w:r>
      <w:r w:rsidR="000B3612" w:rsidRPr="00C10386">
        <w:t xml:space="preserve"> un </w:t>
      </w:r>
      <w:r w:rsidRPr="00C10386">
        <w:rPr>
          <w:b/>
        </w:rPr>
        <w:t xml:space="preserve">progressivo spostamento della filiera </w:t>
      </w:r>
      <w:r w:rsidR="00EE609A" w:rsidRPr="00C10386">
        <w:rPr>
          <w:b/>
        </w:rPr>
        <w:t>nel comparto manifattu</w:t>
      </w:r>
      <w:proofErr w:type="gramEnd"/>
      <w:r w:rsidR="00EE609A" w:rsidRPr="00C10386">
        <w:rPr>
          <w:b/>
        </w:rPr>
        <w:t>riero</w:t>
      </w:r>
      <w:r w:rsidRPr="00C10386">
        <w:t>.</w:t>
      </w:r>
    </w:p>
    <w:p w14:paraId="5B7B491B" w14:textId="77777777" w:rsidR="00047585" w:rsidRPr="00C10386" w:rsidRDefault="003045F5" w:rsidP="003045F5">
      <w:pPr>
        <w:jc w:val="both"/>
      </w:pPr>
      <w:r w:rsidRPr="00C10386">
        <w:lastRenderedPageBreak/>
        <w:t xml:space="preserve">Nel settore operano </w:t>
      </w:r>
      <w:r w:rsidR="00047585" w:rsidRPr="00C10386">
        <w:t xml:space="preserve">oltre </w:t>
      </w:r>
      <w:r w:rsidR="00047585" w:rsidRPr="00C10386">
        <w:rPr>
          <w:b/>
        </w:rPr>
        <w:t>230mila</w:t>
      </w:r>
      <w:r w:rsidRPr="00C10386">
        <w:t xml:space="preserve"> </w:t>
      </w:r>
      <w:r w:rsidRPr="00C10386">
        <w:rPr>
          <w:b/>
        </w:rPr>
        <w:t>addetti</w:t>
      </w:r>
      <w:r w:rsidR="000B3612" w:rsidRPr="00C10386">
        <w:t xml:space="preserve">, un quinto del totale degli occupati nella regione. Il peso sociale di questo comparto, quindi, oltre a quello </w:t>
      </w:r>
      <w:proofErr w:type="gramStart"/>
      <w:r w:rsidR="000B3612" w:rsidRPr="00C10386">
        <w:t>economico,</w:t>
      </w:r>
      <w:proofErr w:type="gramEnd"/>
      <w:r w:rsidR="000B3612" w:rsidRPr="00C10386">
        <w:t xml:space="preserve"> è di primario livello</w:t>
      </w:r>
      <w:r w:rsidRPr="00C10386">
        <w:t xml:space="preserve">. Rispetto alla fotografia del 2014, nel 2019 si contano </w:t>
      </w:r>
      <w:r w:rsidR="00047585" w:rsidRPr="00C10386">
        <w:t>oltre 500 addetti in più</w:t>
      </w:r>
      <w:r w:rsidR="002C775E" w:rsidRPr="00C10386">
        <w:t>.</w:t>
      </w:r>
    </w:p>
    <w:p w14:paraId="23B07EE1" w14:textId="77777777" w:rsidR="003045F5" w:rsidRPr="00C10386" w:rsidRDefault="003045F5" w:rsidP="003045F5">
      <w:pPr>
        <w:jc w:val="both"/>
      </w:pPr>
      <w:r w:rsidRPr="00C10386">
        <w:t xml:space="preserve">1.394 addetti in meno nelle campagne, ma anche un travaso forte dalla coltivazione di ortaggi, cereali e legumi (che perdono terreno in modo netto) alla frutticoltura e olivicoltura, che invece da sole aumentano di 2.177 unità lavorative. </w:t>
      </w:r>
    </w:p>
    <w:p w14:paraId="4500510F" w14:textId="77777777" w:rsidR="003045F5" w:rsidRPr="00C10386" w:rsidRDefault="003045F5" w:rsidP="003045F5">
      <w:pPr>
        <w:jc w:val="both"/>
      </w:pPr>
      <w:r w:rsidRPr="00C10386">
        <w:t xml:space="preserve">Se l’allevamento sostanzialmente tiene (+37 lavoratori), la pesca perde 233 addetti, il che è un dato curioso a fronte di un aumento del numero </w:t>
      </w:r>
      <w:proofErr w:type="gramStart"/>
      <w:r w:rsidRPr="00C10386">
        <w:t xml:space="preserve">di </w:t>
      </w:r>
      <w:proofErr w:type="gramEnd"/>
      <w:r w:rsidRPr="00C10386">
        <w:t>imprese</w:t>
      </w:r>
      <w:r w:rsidR="000B3612" w:rsidRPr="00C10386">
        <w:t>, ma in ogni caso pone la questione della marineria pugliese</w:t>
      </w:r>
      <w:r w:rsidRPr="00C10386">
        <w:t xml:space="preserve">. </w:t>
      </w:r>
    </w:p>
    <w:p w14:paraId="383285B1" w14:textId="77777777" w:rsidR="003045F5" w:rsidRPr="00C10386" w:rsidRDefault="001120B0" w:rsidP="003045F5">
      <w:pPr>
        <w:jc w:val="both"/>
      </w:pPr>
      <w:r w:rsidRPr="00C10386">
        <w:rPr>
          <w:b/>
        </w:rPr>
        <w:t>Foggia</w:t>
      </w:r>
      <w:r w:rsidRPr="00C10386">
        <w:t xml:space="preserve"> </w:t>
      </w:r>
      <w:r w:rsidR="003045F5" w:rsidRPr="00C10386">
        <w:t>traina il dato complessivo delle aziende registrate</w:t>
      </w:r>
      <w:r w:rsidR="00636276" w:rsidRPr="00C10386">
        <w:t>, confermando la sua vocazione agricola</w:t>
      </w:r>
      <w:r w:rsidR="003045F5" w:rsidRPr="00C10386">
        <w:t>.</w:t>
      </w:r>
    </w:p>
    <w:p w14:paraId="053F9798" w14:textId="77777777" w:rsidR="003045F5" w:rsidRPr="00C10386" w:rsidRDefault="003045F5" w:rsidP="003045F5">
      <w:pPr>
        <w:jc w:val="both"/>
      </w:pPr>
      <w:r w:rsidRPr="00C10386">
        <w:t xml:space="preserve">Escludendo il settore primario e considerando solo le industrie di trasformazione, è la </w:t>
      </w:r>
      <w:r w:rsidRPr="00C10386">
        <w:rPr>
          <w:b/>
        </w:rPr>
        <w:t>provincia di Bari</w:t>
      </w:r>
      <w:r w:rsidRPr="00C10386">
        <w:t xml:space="preserve"> a riprendere il primato, con 1.783 aziende.</w:t>
      </w:r>
    </w:p>
    <w:p w14:paraId="73A74FD9" w14:textId="77777777" w:rsidR="003045F5" w:rsidRPr="00C10386" w:rsidRDefault="003045F5" w:rsidP="003045F5">
      <w:pPr>
        <w:jc w:val="both"/>
      </w:pPr>
      <w:r w:rsidRPr="00C10386">
        <w:rPr>
          <w:b/>
        </w:rPr>
        <w:t>Le classi di fatturato disegnano una piramide</w:t>
      </w:r>
      <w:r w:rsidRPr="00C10386">
        <w:t xml:space="preserve">, con un vertice molto agguerrito (ben </w:t>
      </w:r>
      <w:proofErr w:type="gramStart"/>
      <w:r w:rsidRPr="00C10386">
        <w:t>17</w:t>
      </w:r>
      <w:proofErr w:type="gramEnd"/>
      <w:r w:rsidRPr="00C10386">
        <w:t xml:space="preserve"> aziende oltre i 50 milioni di €, 25 sopra i 25mln, 59 sopra i 10mln) e la base che si allarga abbassando l’asticella della performance. In tutto, sopra il milione di euro di fatturato la Puglia conta ben 704 aziende. </w:t>
      </w:r>
    </w:p>
    <w:p w14:paraId="74AF296C" w14:textId="77777777" w:rsidR="003045F5" w:rsidRPr="00C10386" w:rsidRDefault="003045F5" w:rsidP="003045F5">
      <w:pPr>
        <w:jc w:val="both"/>
      </w:pPr>
      <w:proofErr w:type="gramStart"/>
      <w:r w:rsidRPr="00C10386">
        <w:t xml:space="preserve">Sotto di loro, altre 700 le imprese fra </w:t>
      </w:r>
      <w:r w:rsidR="00E34EF3" w:rsidRPr="00C10386">
        <w:t xml:space="preserve">i </w:t>
      </w:r>
      <w:r w:rsidRPr="00C10386">
        <w:t>250</w:t>
      </w:r>
      <w:r w:rsidR="00636276" w:rsidRPr="00C10386">
        <w:t>.000</w:t>
      </w:r>
      <w:r w:rsidRPr="00C10386">
        <w:t xml:space="preserve"> e il milione di €/annui di fatturato</w:t>
      </w:r>
      <w:proofErr w:type="gramEnd"/>
      <w:r w:rsidRPr="00C10386">
        <w:t xml:space="preserve">. Infine, la maggior parte delle imprese, i cui fatturati non superano i 250mila € </w:t>
      </w:r>
      <w:proofErr w:type="gramStart"/>
      <w:r w:rsidRPr="00C10386">
        <w:t>all’</w:t>
      </w:r>
      <w:proofErr w:type="gramEnd"/>
      <w:r w:rsidRPr="00C10386">
        <w:t>anno. Questo dato è ovviamente quello delle società di capitali, tenute al deposito del bilancio, ma è verosimile pensare che, soprattutto nel settore primario, vi siano molte più aziende con performance “da piani alti” anche fra società non di capitali.</w:t>
      </w:r>
    </w:p>
    <w:p w14:paraId="7ED4FC28" w14:textId="77777777" w:rsidR="001120B0" w:rsidRPr="00C10386" w:rsidRDefault="003045F5" w:rsidP="003045F5">
      <w:pPr>
        <w:jc w:val="both"/>
      </w:pPr>
      <w:proofErr w:type="gramStart"/>
      <w:r w:rsidRPr="00C10386">
        <w:t>E’</w:t>
      </w:r>
      <w:proofErr w:type="gramEnd"/>
      <w:r w:rsidRPr="00C10386">
        <w:t xml:space="preserve"> inoltre un settore con un una </w:t>
      </w:r>
      <w:r w:rsidRPr="00C10386">
        <w:rPr>
          <w:b/>
        </w:rPr>
        <w:t>assai rilevante continuità e tradizione</w:t>
      </w:r>
      <w:r w:rsidRPr="00C10386">
        <w:t xml:space="preserve">. Vi è uno zoccolo duro in cui spiccano anche </w:t>
      </w:r>
      <w:proofErr w:type="gramStart"/>
      <w:r w:rsidRPr="00C10386">
        <w:rPr>
          <w:b/>
        </w:rPr>
        <w:t>19</w:t>
      </w:r>
      <w:proofErr w:type="gramEnd"/>
      <w:r w:rsidRPr="00C10386">
        <w:rPr>
          <w:b/>
        </w:rPr>
        <w:t xml:space="preserve"> imprese che operano da più di 80 anni</w:t>
      </w:r>
      <w:r w:rsidR="00E34EF3" w:rsidRPr="00C10386">
        <w:rPr>
          <w:b/>
        </w:rPr>
        <w:t xml:space="preserve"> e </w:t>
      </w:r>
      <w:r w:rsidR="00E34EF3" w:rsidRPr="00C10386">
        <w:rPr>
          <w:b/>
          <w:bCs/>
        </w:rPr>
        <w:t xml:space="preserve">quasi 250 </w:t>
      </w:r>
      <w:r w:rsidRPr="00C10386">
        <w:rPr>
          <w:b/>
        </w:rPr>
        <w:t xml:space="preserve"> da oltre mezzo secolo</w:t>
      </w:r>
      <w:r w:rsidRPr="00C10386">
        <w:t xml:space="preserve">. </w:t>
      </w:r>
    </w:p>
    <w:p w14:paraId="4BDA8856" w14:textId="77777777" w:rsidR="003045F5" w:rsidRPr="00C10386" w:rsidRDefault="003045F5" w:rsidP="003045F5">
      <w:pPr>
        <w:jc w:val="both"/>
      </w:pPr>
      <w:r w:rsidRPr="00C10386">
        <w:rPr>
          <w:b/>
        </w:rPr>
        <w:t>Nel primario domina in modo incontrastato l’impresa individuale.</w:t>
      </w:r>
      <w:r w:rsidR="00E34EF3" w:rsidRPr="00C10386">
        <w:t xml:space="preserve"> </w:t>
      </w:r>
      <w:r w:rsidRPr="00C10386">
        <w:t>Completamente diversa la situazione nell’industria di trasformazione, che denota strutture societarie più moderne, con l’impresa individuale (44%) destina</w:t>
      </w:r>
      <w:r w:rsidR="00990242" w:rsidRPr="00C10386">
        <w:t>ta nel giro di non molti anni a</w:t>
      </w:r>
      <w:r w:rsidRPr="00C10386">
        <w:t xml:space="preserve"> essere superata dalla società di capitali (già al 31%, ma in costante ascesa). </w:t>
      </w:r>
    </w:p>
    <w:p w14:paraId="19AD242F" w14:textId="77777777" w:rsidR="003045F5" w:rsidRPr="00C10386" w:rsidRDefault="003045F5" w:rsidP="003045F5">
      <w:pPr>
        <w:jc w:val="both"/>
      </w:pPr>
      <w:r w:rsidRPr="00C10386">
        <w:t xml:space="preserve">L’analisi aggregata dei bilanci </w:t>
      </w:r>
      <w:r w:rsidRPr="00C10386">
        <w:rPr>
          <w:b/>
        </w:rPr>
        <w:t>negli ultimi due anni, cumulati</w:t>
      </w:r>
      <w:r w:rsidRPr="00C10386">
        <w:t>, rivela le seguenti dinamiche nelle società di capitali:</w:t>
      </w:r>
    </w:p>
    <w:p w14:paraId="2251E9DB" w14:textId="77777777" w:rsidR="001120B0" w:rsidRPr="00C10386" w:rsidRDefault="003045F5" w:rsidP="003045F5">
      <w:pPr>
        <w:jc w:val="both"/>
      </w:pPr>
      <w:proofErr w:type="gramStart"/>
      <w:r w:rsidRPr="00C10386">
        <w:rPr>
          <w:b/>
        </w:rPr>
        <w:t>c</w:t>
      </w:r>
      <w:proofErr w:type="gramEnd"/>
      <w:r w:rsidRPr="00C10386">
        <w:rPr>
          <w:b/>
        </w:rPr>
        <w:t>rescita apprezzabile degli investimenti</w:t>
      </w:r>
      <w:r w:rsidRPr="00C10386">
        <w:t xml:space="preserve"> (+536 milioni) </w:t>
      </w:r>
      <w:r w:rsidRPr="00C10386">
        <w:rPr>
          <w:b/>
        </w:rPr>
        <w:t>e della fiducia</w:t>
      </w:r>
      <w:r w:rsidRPr="00C10386">
        <w:t>, come dimostra il ricorso elevato al debito come mezzo di finanziamento (+402 mln).</w:t>
      </w:r>
    </w:p>
    <w:p w14:paraId="3B8534AD" w14:textId="77777777" w:rsidR="003045F5" w:rsidRPr="00C10386" w:rsidRDefault="001120B0" w:rsidP="003045F5">
      <w:pPr>
        <w:jc w:val="both"/>
      </w:pPr>
      <w:r w:rsidRPr="00C10386">
        <w:t>In allegato il report completo.</w:t>
      </w:r>
      <w:r w:rsidR="003045F5" w:rsidRPr="00C10386">
        <w:t xml:space="preserve"> </w:t>
      </w:r>
    </w:p>
    <w:p w14:paraId="00429A95" w14:textId="77777777" w:rsidR="001120B0" w:rsidRPr="00C10386" w:rsidRDefault="001120B0" w:rsidP="003045F5">
      <w:pPr>
        <w:jc w:val="both"/>
      </w:pPr>
      <w:r w:rsidRPr="00C10386">
        <w:t xml:space="preserve">Il </w:t>
      </w:r>
      <w:r w:rsidR="002C775E" w:rsidRPr="00C10386">
        <w:t xml:space="preserve">prossimo appuntamento del </w:t>
      </w:r>
      <w:r w:rsidRPr="00C10386">
        <w:t xml:space="preserve">Sismografo </w:t>
      </w:r>
      <w:r w:rsidR="002C775E" w:rsidRPr="00C10386">
        <w:t xml:space="preserve">sarà </w:t>
      </w:r>
      <w:r w:rsidRPr="00C10386">
        <w:t>con l’analisi della Meccanica.</w:t>
      </w:r>
    </w:p>
    <w:p w14:paraId="1630EF6B" w14:textId="77777777" w:rsidR="00990242" w:rsidRPr="00C10386" w:rsidRDefault="00990242" w:rsidP="003045F5">
      <w:pPr>
        <w:jc w:val="both"/>
      </w:pPr>
    </w:p>
    <w:p w14:paraId="6E5D9291" w14:textId="2D6E93D4" w:rsidR="005F6329" w:rsidRPr="00C10386" w:rsidRDefault="001120B0" w:rsidP="00B64741">
      <w:pPr>
        <w:jc w:val="center"/>
        <w:rPr>
          <w:b/>
          <w:bCs/>
          <w:color w:val="7F7F7F" w:themeColor="text1" w:themeTint="80"/>
        </w:rPr>
      </w:pPr>
      <w:r w:rsidRPr="00C10386">
        <w:rPr>
          <w:b/>
          <w:bCs/>
          <w:color w:val="7F7F7F" w:themeColor="text1" w:themeTint="80"/>
        </w:rPr>
        <w:t>Bari</w:t>
      </w:r>
      <w:r w:rsidR="002C775E" w:rsidRPr="00C10386">
        <w:rPr>
          <w:b/>
          <w:bCs/>
          <w:color w:val="7F7F7F" w:themeColor="text1" w:themeTint="80"/>
        </w:rPr>
        <w:t>,</w:t>
      </w:r>
      <w:r w:rsidRPr="00C10386">
        <w:rPr>
          <w:b/>
          <w:bCs/>
          <w:color w:val="7F7F7F" w:themeColor="text1" w:themeTint="80"/>
        </w:rPr>
        <w:t xml:space="preserve"> </w:t>
      </w:r>
      <w:r w:rsidR="00C10386" w:rsidRPr="00C10386">
        <w:rPr>
          <w:b/>
          <w:bCs/>
          <w:color w:val="7F7F7F" w:themeColor="text1" w:themeTint="80"/>
        </w:rPr>
        <w:t xml:space="preserve">2 aprile 2020, </w:t>
      </w:r>
      <w:r w:rsidR="002C775E" w:rsidRPr="00C10386">
        <w:rPr>
          <w:b/>
          <w:bCs/>
          <w:color w:val="7F7F7F" w:themeColor="text1" w:themeTint="80"/>
        </w:rPr>
        <w:t>p</w:t>
      </w:r>
      <w:r w:rsidRPr="00C10386">
        <w:rPr>
          <w:b/>
          <w:bCs/>
          <w:color w:val="7F7F7F" w:themeColor="text1" w:themeTint="80"/>
        </w:rPr>
        <w:t xml:space="preserve">er l’ufficio stampa </w:t>
      </w:r>
      <w:proofErr w:type="spellStart"/>
      <w:r w:rsidRPr="00C10386">
        <w:rPr>
          <w:b/>
          <w:bCs/>
          <w:color w:val="7F7F7F" w:themeColor="text1" w:themeTint="80"/>
        </w:rPr>
        <w:t>Unioncamere</w:t>
      </w:r>
      <w:proofErr w:type="spellEnd"/>
      <w:r w:rsidRPr="00C10386">
        <w:rPr>
          <w:b/>
          <w:bCs/>
          <w:color w:val="7F7F7F" w:themeColor="text1" w:themeTint="80"/>
        </w:rPr>
        <w:t xml:space="preserve"> Puglia, Chicca </w:t>
      </w:r>
      <w:proofErr w:type="spellStart"/>
      <w:r w:rsidRPr="00C10386">
        <w:rPr>
          <w:b/>
          <w:bCs/>
          <w:color w:val="7F7F7F" w:themeColor="text1" w:themeTint="80"/>
        </w:rPr>
        <w:t>Maralfa</w:t>
      </w:r>
      <w:proofErr w:type="spellEnd"/>
      <w:r w:rsidRPr="00C10386">
        <w:rPr>
          <w:b/>
          <w:bCs/>
          <w:color w:val="7F7F7F" w:themeColor="text1" w:themeTint="80"/>
        </w:rPr>
        <w:t>, tel. 3385082862</w:t>
      </w:r>
    </w:p>
    <w:sectPr w:rsidR="005F6329" w:rsidRPr="00C10386" w:rsidSect="000F38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1C9"/>
    <w:multiLevelType w:val="hybridMultilevel"/>
    <w:tmpl w:val="689A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F5"/>
    <w:rsid w:val="00047585"/>
    <w:rsid w:val="000B3612"/>
    <w:rsid w:val="000F38AD"/>
    <w:rsid w:val="001120B0"/>
    <w:rsid w:val="002C775E"/>
    <w:rsid w:val="003045F5"/>
    <w:rsid w:val="005F6329"/>
    <w:rsid w:val="005F6801"/>
    <w:rsid w:val="00636276"/>
    <w:rsid w:val="00990242"/>
    <w:rsid w:val="00B64741"/>
    <w:rsid w:val="00C10386"/>
    <w:rsid w:val="00E34EF3"/>
    <w:rsid w:val="00E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87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F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5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5F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F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5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5F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645</Words>
  <Characters>3683</Characters>
  <Application>Microsoft Macintosh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2020-04-01T17:49:00Z</dcterms:created>
  <dcterms:modified xsi:type="dcterms:W3CDTF">2020-04-02T06:27:00Z</dcterms:modified>
</cp:coreProperties>
</file>