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802"/>
        <w:gridCol w:w="6976"/>
      </w:tblGrid>
      <w:tr w:rsidR="0007345F" w:rsidRPr="004D1A9C" w:rsidTr="0007345F">
        <w:tc>
          <w:tcPr>
            <w:tcW w:w="2802" w:type="dxa"/>
            <w:shd w:val="clear" w:color="auto" w:fill="E5DFEC" w:themeFill="accent4" w:themeFillTint="33"/>
          </w:tcPr>
          <w:p w:rsidR="0007345F" w:rsidRPr="007C10B6" w:rsidRDefault="0007345F" w:rsidP="0069385F">
            <w:pPr>
              <w:rPr>
                <w:rFonts w:ascii="Arial Black" w:hAnsi="Arial Black"/>
                <w:b/>
                <w:color w:val="595959" w:themeColor="text1" w:themeTint="A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76" w:type="dxa"/>
            <w:shd w:val="clear" w:color="auto" w:fill="E5DFEC" w:themeFill="accent4" w:themeFillTint="33"/>
          </w:tcPr>
          <w:p w:rsidR="0007345F" w:rsidRPr="004D1A9C" w:rsidRDefault="0060337E" w:rsidP="0007345F">
            <w:pPr>
              <w:jc w:val="right"/>
              <w:rPr>
                <w:rFonts w:ascii="Aileron Black" w:hAnsi="Aileron Black"/>
                <w:b/>
                <w:color w:val="000000" w:themeColor="text1"/>
                <w:sz w:val="72"/>
                <w:szCs w:val="96"/>
              </w:rPr>
            </w:pPr>
            <w:proofErr w:type="gramStart"/>
            <w:r w:rsidRPr="004D1A9C">
              <w:rPr>
                <w:rFonts w:ascii="Aileron Black" w:hAnsi="Aileron Black"/>
                <w:b/>
                <w:color w:val="000000" w:themeColor="text1"/>
                <w:sz w:val="96"/>
                <w:szCs w:val="96"/>
              </w:rPr>
              <w:t>copertina</w:t>
            </w:r>
            <w:proofErr w:type="gramEnd"/>
            <w:r w:rsidR="0007345F" w:rsidRPr="004D1A9C">
              <w:rPr>
                <w:rFonts w:ascii="Aileron Black" w:hAnsi="Aileron Black"/>
                <w:b/>
                <w:color w:val="000000" w:themeColor="text1"/>
                <w:sz w:val="72"/>
                <w:szCs w:val="96"/>
              </w:rPr>
              <w:t xml:space="preserve">  </w:t>
            </w:r>
          </w:p>
          <w:p w:rsidR="0007345F" w:rsidRPr="004D1A9C" w:rsidRDefault="0007345F" w:rsidP="001A48E9">
            <w:pPr>
              <w:jc w:val="both"/>
              <w:rPr>
                <w:sz w:val="28"/>
              </w:rPr>
            </w:pPr>
          </w:p>
        </w:tc>
      </w:tr>
      <w:tr w:rsidR="00EC4366" w:rsidRPr="004D1A9C" w:rsidTr="0007345F">
        <w:tc>
          <w:tcPr>
            <w:tcW w:w="2802" w:type="dxa"/>
            <w:shd w:val="clear" w:color="auto" w:fill="E5DFEC" w:themeFill="accent4" w:themeFillTint="33"/>
          </w:tcPr>
          <w:p w:rsidR="00EC4366" w:rsidRPr="004D1A9C" w:rsidRDefault="00EC4366" w:rsidP="0069385F">
            <w:pPr>
              <w:rPr>
                <w:rFonts w:ascii="Arial Black" w:hAnsi="Arial Black"/>
                <w:b/>
                <w:color w:val="595959" w:themeColor="text1" w:themeTint="A6"/>
                <w:sz w:val="24"/>
                <w:szCs w:val="24"/>
              </w:rPr>
            </w:pPr>
            <w:r w:rsidRPr="004D1A9C">
              <w:rPr>
                <w:rFonts w:ascii="Arial Black" w:hAnsi="Arial Black"/>
                <w:b/>
                <w:color w:val="595959" w:themeColor="text1" w:themeTint="A6"/>
                <w:sz w:val="24"/>
                <w:szCs w:val="24"/>
              </w:rPr>
              <w:t xml:space="preserve">Che cosa </w:t>
            </w:r>
          </w:p>
          <w:p w:rsidR="00EC4366" w:rsidRPr="004D1A9C" w:rsidRDefault="00EC4366" w:rsidP="0069385F">
            <w:pPr>
              <w:rPr>
                <w:rFonts w:ascii="Arial Black" w:hAnsi="Arial Black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76" w:type="dxa"/>
            <w:shd w:val="clear" w:color="auto" w:fill="E5DFEC" w:themeFill="accent4" w:themeFillTint="33"/>
          </w:tcPr>
          <w:p w:rsidR="00EC4366" w:rsidRPr="004D1A9C" w:rsidRDefault="00EC4366" w:rsidP="001A48E9">
            <w:pPr>
              <w:jc w:val="both"/>
              <w:rPr>
                <w:sz w:val="28"/>
              </w:rPr>
            </w:pPr>
            <w:r w:rsidRPr="004D1A9C">
              <w:rPr>
                <w:sz w:val="28"/>
              </w:rPr>
              <w:t>Indagini su alcuni comparti-chiave dell’economia pugliese.</w:t>
            </w:r>
          </w:p>
        </w:tc>
      </w:tr>
      <w:tr w:rsidR="00EC4366" w:rsidRPr="004D1A9C" w:rsidTr="0007345F">
        <w:tc>
          <w:tcPr>
            <w:tcW w:w="2802" w:type="dxa"/>
            <w:shd w:val="clear" w:color="auto" w:fill="E5DFEC" w:themeFill="accent4" w:themeFillTint="33"/>
          </w:tcPr>
          <w:p w:rsidR="00EC4366" w:rsidRPr="004D1A9C" w:rsidRDefault="00EC4366" w:rsidP="0069385F">
            <w:pPr>
              <w:rPr>
                <w:rFonts w:ascii="Arial Black" w:hAnsi="Arial Black"/>
                <w:b/>
                <w:color w:val="595959" w:themeColor="text1" w:themeTint="A6"/>
                <w:sz w:val="24"/>
                <w:szCs w:val="24"/>
              </w:rPr>
            </w:pPr>
            <w:r w:rsidRPr="004D1A9C">
              <w:rPr>
                <w:rFonts w:ascii="Arial Black" w:hAnsi="Arial Black"/>
                <w:b/>
                <w:color w:val="595959" w:themeColor="text1" w:themeTint="A6"/>
                <w:sz w:val="24"/>
                <w:szCs w:val="24"/>
              </w:rPr>
              <w:t>Su che cosa</w:t>
            </w:r>
          </w:p>
          <w:p w:rsidR="00EC4366" w:rsidRPr="004D1A9C" w:rsidRDefault="00EC4366" w:rsidP="0069385F">
            <w:pPr>
              <w:rPr>
                <w:rFonts w:ascii="Arial Black" w:hAnsi="Arial Black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76" w:type="dxa"/>
            <w:shd w:val="clear" w:color="auto" w:fill="E5DFEC" w:themeFill="accent4" w:themeFillTint="33"/>
          </w:tcPr>
          <w:p w:rsidR="00EC4366" w:rsidRPr="004D1A9C" w:rsidRDefault="00EC4366" w:rsidP="001A48E9">
            <w:pPr>
              <w:jc w:val="both"/>
              <w:rPr>
                <w:sz w:val="28"/>
              </w:rPr>
            </w:pPr>
            <w:r w:rsidRPr="004D1A9C">
              <w:rPr>
                <w:sz w:val="28"/>
              </w:rPr>
              <w:t xml:space="preserve">Le filiere regionali del turismo, </w:t>
            </w:r>
            <w:proofErr w:type="gramStart"/>
            <w:r w:rsidRPr="004D1A9C">
              <w:rPr>
                <w:sz w:val="28"/>
              </w:rPr>
              <w:t>food</w:t>
            </w:r>
            <w:proofErr w:type="gramEnd"/>
            <w:r w:rsidRPr="004D1A9C">
              <w:rPr>
                <w:sz w:val="28"/>
              </w:rPr>
              <w:t>, commercio, mecca</w:t>
            </w:r>
            <w:r w:rsidR="00222636" w:rsidRPr="004D1A9C">
              <w:rPr>
                <w:sz w:val="28"/>
              </w:rPr>
              <w:t>tro</w:t>
            </w:r>
            <w:r w:rsidRPr="004D1A9C">
              <w:rPr>
                <w:sz w:val="28"/>
              </w:rPr>
              <w:t xml:space="preserve">nica, costruzioni, legno arredo, </w:t>
            </w:r>
            <w:r w:rsidR="001A48E9" w:rsidRPr="004D1A9C">
              <w:rPr>
                <w:sz w:val="28"/>
              </w:rPr>
              <w:t>moda</w:t>
            </w:r>
            <w:r w:rsidR="004E55F7">
              <w:rPr>
                <w:sz w:val="28"/>
              </w:rPr>
              <w:t>, ecc</w:t>
            </w:r>
            <w:r w:rsidR="001A48E9" w:rsidRPr="004D1A9C">
              <w:rPr>
                <w:sz w:val="28"/>
              </w:rPr>
              <w:t>.</w:t>
            </w:r>
          </w:p>
          <w:p w:rsidR="001A48E9" w:rsidRPr="004D1A9C" w:rsidRDefault="001A48E9" w:rsidP="00723CCB">
            <w:pPr>
              <w:jc w:val="center"/>
              <w:rPr>
                <w:sz w:val="28"/>
              </w:rPr>
            </w:pPr>
          </w:p>
        </w:tc>
      </w:tr>
      <w:tr w:rsidR="00EC4366" w:rsidRPr="004D1A9C" w:rsidTr="0007345F">
        <w:tc>
          <w:tcPr>
            <w:tcW w:w="2802" w:type="dxa"/>
            <w:shd w:val="clear" w:color="auto" w:fill="E5DFEC" w:themeFill="accent4" w:themeFillTint="33"/>
          </w:tcPr>
          <w:p w:rsidR="00EC4366" w:rsidRPr="004D1A9C" w:rsidRDefault="00EC4366" w:rsidP="0069385F">
            <w:pPr>
              <w:rPr>
                <w:rFonts w:ascii="Arial Black" w:hAnsi="Arial Black"/>
                <w:b/>
                <w:color w:val="595959" w:themeColor="text1" w:themeTint="A6"/>
                <w:sz w:val="24"/>
                <w:szCs w:val="24"/>
              </w:rPr>
            </w:pPr>
            <w:r w:rsidRPr="004D1A9C">
              <w:rPr>
                <w:rFonts w:ascii="Arial Black" w:hAnsi="Arial Black"/>
                <w:b/>
                <w:color w:val="595959" w:themeColor="text1" w:themeTint="A6"/>
                <w:sz w:val="24"/>
                <w:szCs w:val="24"/>
              </w:rPr>
              <w:t>Perché</w:t>
            </w:r>
          </w:p>
          <w:p w:rsidR="00EC4366" w:rsidRPr="004D1A9C" w:rsidRDefault="00EC4366" w:rsidP="0069385F">
            <w:pPr>
              <w:rPr>
                <w:rFonts w:ascii="Arial Black" w:hAnsi="Arial Black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76" w:type="dxa"/>
            <w:shd w:val="clear" w:color="auto" w:fill="E5DFEC" w:themeFill="accent4" w:themeFillTint="33"/>
          </w:tcPr>
          <w:p w:rsidR="00EC4366" w:rsidRPr="004D1A9C" w:rsidRDefault="005B2434" w:rsidP="001A48E9">
            <w:pPr>
              <w:jc w:val="both"/>
              <w:rPr>
                <w:sz w:val="28"/>
              </w:rPr>
            </w:pPr>
            <w:r w:rsidRPr="004D1A9C">
              <w:rPr>
                <w:sz w:val="28"/>
              </w:rPr>
              <w:t>S</w:t>
            </w:r>
            <w:r w:rsidR="001A48E9" w:rsidRPr="004D1A9C">
              <w:rPr>
                <w:sz w:val="28"/>
              </w:rPr>
              <w:t xml:space="preserve">cattare una foto </w:t>
            </w:r>
            <w:r w:rsidRPr="004D1A9C">
              <w:rPr>
                <w:sz w:val="28"/>
              </w:rPr>
              <w:t xml:space="preserve">dell’economia pugliese </w:t>
            </w:r>
            <w:r w:rsidR="001A48E9" w:rsidRPr="004D1A9C">
              <w:rPr>
                <w:sz w:val="28"/>
              </w:rPr>
              <w:t>prima del meteorite COVID</w:t>
            </w:r>
            <w:r w:rsidRPr="004D1A9C">
              <w:rPr>
                <w:sz w:val="28"/>
              </w:rPr>
              <w:t xml:space="preserve">. Dopo l’emergenza, </w:t>
            </w:r>
            <w:r w:rsidR="00443DA9" w:rsidRPr="004D1A9C">
              <w:rPr>
                <w:sz w:val="28"/>
              </w:rPr>
              <w:t xml:space="preserve">quindi, </w:t>
            </w:r>
            <w:r w:rsidRPr="004D1A9C">
              <w:rPr>
                <w:sz w:val="28"/>
              </w:rPr>
              <w:t>scattarne un’altra per c</w:t>
            </w:r>
            <w:r w:rsidR="001A48E9" w:rsidRPr="004D1A9C">
              <w:rPr>
                <w:sz w:val="28"/>
              </w:rPr>
              <w:t xml:space="preserve">apire </w:t>
            </w:r>
            <w:r w:rsidR="00915151" w:rsidRPr="004D1A9C">
              <w:rPr>
                <w:sz w:val="28"/>
              </w:rPr>
              <w:t xml:space="preserve">se e </w:t>
            </w:r>
            <w:r w:rsidR="001A48E9" w:rsidRPr="004D1A9C">
              <w:rPr>
                <w:sz w:val="28"/>
              </w:rPr>
              <w:t xml:space="preserve">come </w:t>
            </w:r>
            <w:r w:rsidR="00443DA9" w:rsidRPr="004D1A9C">
              <w:rPr>
                <w:sz w:val="28"/>
              </w:rPr>
              <w:t>il fenomeno</w:t>
            </w:r>
            <w:r w:rsidRPr="004D1A9C">
              <w:rPr>
                <w:sz w:val="28"/>
              </w:rPr>
              <w:t xml:space="preserve"> avrà </w:t>
            </w:r>
            <w:r w:rsidR="001A48E9" w:rsidRPr="004D1A9C">
              <w:rPr>
                <w:sz w:val="28"/>
              </w:rPr>
              <w:t>impatt</w:t>
            </w:r>
            <w:r w:rsidRPr="004D1A9C">
              <w:rPr>
                <w:sz w:val="28"/>
              </w:rPr>
              <w:t>ato</w:t>
            </w:r>
            <w:r w:rsidR="001A48E9" w:rsidRPr="004D1A9C">
              <w:rPr>
                <w:sz w:val="28"/>
              </w:rPr>
              <w:t xml:space="preserve"> su</w:t>
            </w:r>
            <w:r w:rsidR="00EC4366" w:rsidRPr="004D1A9C">
              <w:rPr>
                <w:sz w:val="28"/>
              </w:rPr>
              <w:t>l</w:t>
            </w:r>
            <w:r w:rsidRPr="004D1A9C">
              <w:rPr>
                <w:sz w:val="28"/>
              </w:rPr>
              <w:t>l</w:t>
            </w:r>
            <w:r w:rsidR="00EC4366" w:rsidRPr="004D1A9C">
              <w:rPr>
                <w:sz w:val="28"/>
              </w:rPr>
              <w:t>e prospettive di sviluppo del nostro territorio.</w:t>
            </w:r>
          </w:p>
          <w:p w:rsidR="001A48E9" w:rsidRPr="004D1A9C" w:rsidRDefault="001A48E9" w:rsidP="001A48E9">
            <w:pPr>
              <w:jc w:val="both"/>
              <w:rPr>
                <w:sz w:val="28"/>
              </w:rPr>
            </w:pPr>
          </w:p>
        </w:tc>
      </w:tr>
      <w:tr w:rsidR="00EC4366" w:rsidRPr="004D1A9C" w:rsidTr="0007345F">
        <w:tc>
          <w:tcPr>
            <w:tcW w:w="2802" w:type="dxa"/>
            <w:shd w:val="clear" w:color="auto" w:fill="E5DFEC" w:themeFill="accent4" w:themeFillTint="33"/>
          </w:tcPr>
          <w:p w:rsidR="00EC4366" w:rsidRPr="004D1A9C" w:rsidRDefault="00EC4366" w:rsidP="0069385F">
            <w:pPr>
              <w:rPr>
                <w:rFonts w:ascii="Arial Black" w:hAnsi="Arial Black"/>
                <w:b/>
                <w:color w:val="595959" w:themeColor="text1" w:themeTint="A6"/>
                <w:sz w:val="24"/>
                <w:szCs w:val="24"/>
              </w:rPr>
            </w:pPr>
            <w:r w:rsidRPr="004D1A9C">
              <w:rPr>
                <w:rFonts w:ascii="Arial Black" w:hAnsi="Arial Black"/>
                <w:b/>
                <w:color w:val="595959" w:themeColor="text1" w:themeTint="A6"/>
                <w:sz w:val="24"/>
                <w:szCs w:val="24"/>
              </w:rPr>
              <w:t>Come</w:t>
            </w:r>
          </w:p>
          <w:p w:rsidR="00EC4366" w:rsidRPr="004D1A9C" w:rsidRDefault="00EC4366" w:rsidP="0069385F">
            <w:pPr>
              <w:rPr>
                <w:rFonts w:ascii="Arial Black" w:hAnsi="Arial Black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76" w:type="dxa"/>
            <w:shd w:val="clear" w:color="auto" w:fill="E5DFEC" w:themeFill="accent4" w:themeFillTint="33"/>
          </w:tcPr>
          <w:p w:rsidR="00EC4366" w:rsidRPr="004D1A9C" w:rsidRDefault="00EC4366" w:rsidP="001A48E9">
            <w:pPr>
              <w:jc w:val="both"/>
              <w:rPr>
                <w:sz w:val="28"/>
              </w:rPr>
            </w:pPr>
            <w:proofErr w:type="gramStart"/>
            <w:r w:rsidRPr="004D1A9C">
              <w:rPr>
                <w:sz w:val="28"/>
              </w:rPr>
              <w:t>Studi scientifici, rapidi e di facile lettura (imprese, dipendenti, bilanci, export, radicamento territoriale e tanto altro).</w:t>
            </w:r>
            <w:proofErr w:type="gramEnd"/>
          </w:p>
          <w:p w:rsidR="001A48E9" w:rsidRPr="004D1A9C" w:rsidRDefault="001A48E9" w:rsidP="001A48E9">
            <w:pPr>
              <w:jc w:val="both"/>
              <w:rPr>
                <w:sz w:val="28"/>
              </w:rPr>
            </w:pPr>
          </w:p>
        </w:tc>
      </w:tr>
      <w:tr w:rsidR="00EC4366" w:rsidRPr="004D1A9C" w:rsidTr="0007345F">
        <w:tc>
          <w:tcPr>
            <w:tcW w:w="2802" w:type="dxa"/>
            <w:shd w:val="clear" w:color="auto" w:fill="E5DFEC" w:themeFill="accent4" w:themeFillTint="33"/>
          </w:tcPr>
          <w:p w:rsidR="00EC4366" w:rsidRPr="004D1A9C" w:rsidRDefault="00EC4366" w:rsidP="0069385F">
            <w:pPr>
              <w:rPr>
                <w:rFonts w:ascii="Arial Black" w:hAnsi="Arial Black"/>
                <w:b/>
                <w:color w:val="595959" w:themeColor="text1" w:themeTint="A6"/>
                <w:sz w:val="24"/>
                <w:szCs w:val="24"/>
              </w:rPr>
            </w:pPr>
            <w:r w:rsidRPr="004D1A9C">
              <w:rPr>
                <w:rFonts w:ascii="Arial Black" w:hAnsi="Arial Black"/>
                <w:b/>
                <w:color w:val="595959" w:themeColor="text1" w:themeTint="A6"/>
                <w:sz w:val="24"/>
                <w:szCs w:val="24"/>
              </w:rPr>
              <w:t>Quando</w:t>
            </w:r>
          </w:p>
        </w:tc>
        <w:tc>
          <w:tcPr>
            <w:tcW w:w="6976" w:type="dxa"/>
            <w:shd w:val="clear" w:color="auto" w:fill="E5DFEC" w:themeFill="accent4" w:themeFillTint="33"/>
          </w:tcPr>
          <w:p w:rsidR="00EC4366" w:rsidRPr="004D1A9C" w:rsidRDefault="00EC4366" w:rsidP="001A48E9">
            <w:pPr>
              <w:jc w:val="both"/>
              <w:rPr>
                <w:sz w:val="28"/>
              </w:rPr>
            </w:pPr>
            <w:r w:rsidRPr="004D1A9C">
              <w:rPr>
                <w:sz w:val="28"/>
              </w:rPr>
              <w:t xml:space="preserve">Oggi analizziamo i dati </w:t>
            </w:r>
            <w:r w:rsidR="003A01FB" w:rsidRPr="004D1A9C">
              <w:rPr>
                <w:sz w:val="28"/>
              </w:rPr>
              <w:t xml:space="preserve">annuali </w:t>
            </w:r>
            <w:r w:rsidR="008128C2">
              <w:rPr>
                <w:sz w:val="28"/>
              </w:rPr>
              <w:t>al 31/12/2020</w:t>
            </w:r>
            <w:r w:rsidRPr="004D1A9C">
              <w:rPr>
                <w:sz w:val="28"/>
              </w:rPr>
              <w:t>, gli ultimi disponibili.</w:t>
            </w:r>
            <w:r w:rsidR="001A48E9" w:rsidRPr="004D1A9C">
              <w:rPr>
                <w:sz w:val="28"/>
              </w:rPr>
              <w:t xml:space="preserve"> </w:t>
            </w:r>
            <w:r w:rsidR="007C10B6" w:rsidRPr="004D1A9C">
              <w:rPr>
                <w:sz w:val="28"/>
              </w:rPr>
              <w:t xml:space="preserve">Li confrontiamo </w:t>
            </w:r>
            <w:r w:rsidR="00915151" w:rsidRPr="004D1A9C">
              <w:rPr>
                <w:sz w:val="28"/>
              </w:rPr>
              <w:t xml:space="preserve">sistematicamente </w:t>
            </w:r>
            <w:r w:rsidR="001A48E9" w:rsidRPr="004D1A9C">
              <w:rPr>
                <w:sz w:val="28"/>
              </w:rPr>
              <w:t>con quelli del 201</w:t>
            </w:r>
            <w:r w:rsidR="00065E5C">
              <w:rPr>
                <w:sz w:val="28"/>
              </w:rPr>
              <w:t>9</w:t>
            </w:r>
            <w:r w:rsidR="00D55AE9" w:rsidRPr="004D1A9C">
              <w:rPr>
                <w:sz w:val="28"/>
              </w:rPr>
              <w:t xml:space="preserve">, per raccontare </w:t>
            </w:r>
            <w:r w:rsidR="001A48E9" w:rsidRPr="004D1A9C">
              <w:rPr>
                <w:sz w:val="28"/>
              </w:rPr>
              <w:t xml:space="preserve">l’impatto del COVID, </w:t>
            </w:r>
            <w:r w:rsidR="00E76659" w:rsidRPr="004D1A9C">
              <w:rPr>
                <w:sz w:val="28"/>
              </w:rPr>
              <w:t>o</w:t>
            </w:r>
            <w:r w:rsidR="00915151" w:rsidRPr="004D1A9C">
              <w:rPr>
                <w:sz w:val="28"/>
              </w:rPr>
              <w:t>sserv</w:t>
            </w:r>
            <w:r w:rsidR="00E76659" w:rsidRPr="004D1A9C">
              <w:rPr>
                <w:sz w:val="28"/>
              </w:rPr>
              <w:t>and</w:t>
            </w:r>
            <w:r w:rsidR="00915151" w:rsidRPr="004D1A9C">
              <w:rPr>
                <w:sz w:val="28"/>
              </w:rPr>
              <w:t>o</w:t>
            </w:r>
            <w:r w:rsidR="001A48E9" w:rsidRPr="004D1A9C">
              <w:rPr>
                <w:sz w:val="28"/>
              </w:rPr>
              <w:t xml:space="preserve"> natimortalità e </w:t>
            </w:r>
            <w:r w:rsidR="007C10B6" w:rsidRPr="004D1A9C">
              <w:rPr>
                <w:sz w:val="28"/>
              </w:rPr>
              <w:t>influenza</w:t>
            </w:r>
            <w:r w:rsidR="001A48E9" w:rsidRPr="004D1A9C">
              <w:rPr>
                <w:sz w:val="28"/>
              </w:rPr>
              <w:t xml:space="preserve"> sulla forza lavoro.</w:t>
            </w:r>
            <w:r w:rsidR="00D55AE9" w:rsidRPr="004D1A9C">
              <w:rPr>
                <w:sz w:val="28"/>
              </w:rPr>
              <w:t xml:space="preserve"> </w:t>
            </w:r>
          </w:p>
          <w:p w:rsidR="001A48E9" w:rsidRPr="004D1A9C" w:rsidRDefault="001A48E9" w:rsidP="001A48E9">
            <w:pPr>
              <w:jc w:val="both"/>
              <w:rPr>
                <w:sz w:val="28"/>
              </w:rPr>
            </w:pPr>
          </w:p>
        </w:tc>
      </w:tr>
      <w:tr w:rsidR="00EC4366" w:rsidRPr="004D1A9C" w:rsidTr="0007345F">
        <w:tc>
          <w:tcPr>
            <w:tcW w:w="2802" w:type="dxa"/>
            <w:shd w:val="clear" w:color="auto" w:fill="E5DFEC" w:themeFill="accent4" w:themeFillTint="33"/>
          </w:tcPr>
          <w:p w:rsidR="00EC4366" w:rsidRPr="004D1A9C" w:rsidRDefault="00EC4366" w:rsidP="0069385F">
            <w:pPr>
              <w:rPr>
                <w:rFonts w:ascii="Arial Black" w:hAnsi="Arial Black"/>
                <w:b/>
                <w:color w:val="595959" w:themeColor="text1" w:themeTint="A6"/>
                <w:sz w:val="24"/>
                <w:szCs w:val="24"/>
              </w:rPr>
            </w:pPr>
            <w:r w:rsidRPr="004D1A9C">
              <w:rPr>
                <w:rFonts w:ascii="Arial Black" w:hAnsi="Arial Black"/>
                <w:b/>
                <w:color w:val="595959" w:themeColor="text1" w:themeTint="A6"/>
                <w:sz w:val="24"/>
                <w:szCs w:val="24"/>
              </w:rPr>
              <w:t>Da chi</w:t>
            </w:r>
          </w:p>
          <w:p w:rsidR="00EC4366" w:rsidRPr="004D1A9C" w:rsidRDefault="00EC4366" w:rsidP="0069385F">
            <w:pPr>
              <w:rPr>
                <w:rFonts w:ascii="Arial Black" w:hAnsi="Arial Black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76" w:type="dxa"/>
            <w:shd w:val="clear" w:color="auto" w:fill="E5DFEC" w:themeFill="accent4" w:themeFillTint="33"/>
          </w:tcPr>
          <w:p w:rsidR="00EC4366" w:rsidRPr="004D1A9C" w:rsidRDefault="00EC4366" w:rsidP="001A48E9">
            <w:pPr>
              <w:jc w:val="both"/>
              <w:rPr>
                <w:sz w:val="28"/>
              </w:rPr>
            </w:pPr>
            <w:r w:rsidRPr="004D1A9C">
              <w:rPr>
                <w:sz w:val="28"/>
              </w:rPr>
              <w:t>Dati e analisi a cura dell’Ufficio Studi di Unioncamere Puglia.</w:t>
            </w:r>
          </w:p>
          <w:p w:rsidR="001A48E9" w:rsidRPr="004D1A9C" w:rsidRDefault="001A48E9" w:rsidP="001A48E9">
            <w:pPr>
              <w:jc w:val="both"/>
              <w:rPr>
                <w:sz w:val="28"/>
              </w:rPr>
            </w:pPr>
          </w:p>
        </w:tc>
      </w:tr>
      <w:tr w:rsidR="00EC4366" w:rsidRPr="004D1A9C" w:rsidTr="0007345F">
        <w:tc>
          <w:tcPr>
            <w:tcW w:w="2802" w:type="dxa"/>
            <w:shd w:val="clear" w:color="auto" w:fill="E5DFEC" w:themeFill="accent4" w:themeFillTint="33"/>
          </w:tcPr>
          <w:p w:rsidR="00EC4366" w:rsidRPr="004D1A9C" w:rsidRDefault="00EC4366" w:rsidP="0069385F">
            <w:pPr>
              <w:rPr>
                <w:rFonts w:ascii="Arial Black" w:hAnsi="Arial Black"/>
                <w:b/>
                <w:color w:val="595959" w:themeColor="text1" w:themeTint="A6"/>
                <w:sz w:val="24"/>
                <w:szCs w:val="24"/>
              </w:rPr>
            </w:pPr>
            <w:r w:rsidRPr="004D1A9C">
              <w:rPr>
                <w:rFonts w:ascii="Arial Black" w:hAnsi="Arial Black"/>
                <w:b/>
                <w:color w:val="595959" w:themeColor="text1" w:themeTint="A6"/>
                <w:sz w:val="24"/>
                <w:szCs w:val="24"/>
              </w:rPr>
              <w:t>A chi</w:t>
            </w:r>
          </w:p>
          <w:p w:rsidR="00EC4366" w:rsidRPr="004D1A9C" w:rsidRDefault="00EC4366" w:rsidP="0069385F">
            <w:pPr>
              <w:rPr>
                <w:rFonts w:ascii="Arial Black" w:hAnsi="Arial Black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76" w:type="dxa"/>
            <w:shd w:val="clear" w:color="auto" w:fill="E5DFEC" w:themeFill="accent4" w:themeFillTint="33"/>
          </w:tcPr>
          <w:p w:rsidR="00EC4366" w:rsidRPr="004D1A9C" w:rsidRDefault="00EC4366" w:rsidP="001A48E9">
            <w:pPr>
              <w:jc w:val="both"/>
              <w:rPr>
                <w:sz w:val="28"/>
              </w:rPr>
            </w:pPr>
            <w:r w:rsidRPr="004D1A9C">
              <w:rPr>
                <w:sz w:val="28"/>
              </w:rPr>
              <w:t>A chi deve decidere.  A chi informa. A chi vuole capire.</w:t>
            </w:r>
          </w:p>
          <w:p w:rsidR="00EC4366" w:rsidRPr="004D1A9C" w:rsidRDefault="00EC4366" w:rsidP="001A48E9">
            <w:pPr>
              <w:jc w:val="both"/>
              <w:rPr>
                <w:sz w:val="28"/>
              </w:rPr>
            </w:pPr>
          </w:p>
        </w:tc>
      </w:tr>
    </w:tbl>
    <w:p w:rsidR="00EC4366" w:rsidRPr="004D1A9C" w:rsidRDefault="00EC4366" w:rsidP="00EC4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4D1A9C"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699"/>
      </w:tblGrid>
      <w:tr w:rsidR="00ED1896" w:rsidRPr="004D1A9C" w:rsidTr="00D24D22">
        <w:tc>
          <w:tcPr>
            <w:tcW w:w="9854" w:type="dxa"/>
            <w:gridSpan w:val="2"/>
          </w:tcPr>
          <w:p w:rsidR="00E14487" w:rsidRPr="003C07A2" w:rsidRDefault="004E55F7" w:rsidP="001344DF">
            <w:pPr>
              <w:jc w:val="right"/>
              <w:rPr>
                <w:rFonts w:ascii="Aileron Black" w:hAnsi="Aileron Black"/>
                <w:b/>
                <w:color w:val="000000" w:themeColor="text1"/>
                <w:sz w:val="44"/>
                <w:szCs w:val="96"/>
              </w:rPr>
            </w:pPr>
            <w:r w:rsidRPr="003C07A2">
              <w:rPr>
                <w:rFonts w:ascii="Aileron Black" w:hAnsi="Aileron Black"/>
                <w:b/>
                <w:color w:val="000000" w:themeColor="text1"/>
                <w:sz w:val="44"/>
                <w:szCs w:val="96"/>
              </w:rPr>
              <w:lastRenderedPageBreak/>
              <w:t>1</w:t>
            </w:r>
            <w:r w:rsidR="002932B8">
              <w:rPr>
                <w:rFonts w:ascii="Aileron Black" w:hAnsi="Aileron Black"/>
                <w:b/>
                <w:color w:val="000000" w:themeColor="text1"/>
                <w:sz w:val="44"/>
                <w:szCs w:val="96"/>
              </w:rPr>
              <w:t>2</w:t>
            </w:r>
            <w:r w:rsidR="008A6869" w:rsidRPr="003C07A2">
              <w:rPr>
                <w:rFonts w:ascii="Aileron Black" w:hAnsi="Aileron Black"/>
                <w:b/>
                <w:color w:val="000000" w:themeColor="text1"/>
                <w:sz w:val="44"/>
                <w:szCs w:val="96"/>
              </w:rPr>
              <w:t>.</w:t>
            </w:r>
            <w:proofErr w:type="gramStart"/>
            <w:r w:rsidR="00A4004B">
              <w:rPr>
                <w:rFonts w:ascii="Aileron Black" w:hAnsi="Aileron Black"/>
                <w:b/>
                <w:color w:val="000000" w:themeColor="text1"/>
                <w:sz w:val="44"/>
                <w:szCs w:val="96"/>
              </w:rPr>
              <w:t xml:space="preserve">  </w:t>
            </w:r>
            <w:proofErr w:type="gramEnd"/>
            <w:r w:rsidR="00A4004B">
              <w:rPr>
                <w:rFonts w:ascii="Aileron Black" w:hAnsi="Aileron Black"/>
                <w:b/>
                <w:color w:val="000000" w:themeColor="text1"/>
                <w:sz w:val="44"/>
                <w:szCs w:val="96"/>
              </w:rPr>
              <w:t xml:space="preserve">Effetti del Covid 19 </w:t>
            </w:r>
            <w:r w:rsidR="00C2412F" w:rsidRPr="003C07A2">
              <w:rPr>
                <w:rFonts w:ascii="Aileron Black" w:hAnsi="Aileron Black"/>
                <w:b/>
                <w:color w:val="000000" w:themeColor="text1"/>
                <w:sz w:val="44"/>
                <w:szCs w:val="96"/>
              </w:rPr>
              <w:t>sull’economia</w:t>
            </w:r>
            <w:r w:rsidR="00A4004B">
              <w:rPr>
                <w:rFonts w:ascii="Aileron Black" w:hAnsi="Aileron Black"/>
                <w:b/>
                <w:color w:val="000000" w:themeColor="text1"/>
                <w:sz w:val="44"/>
                <w:szCs w:val="96"/>
              </w:rPr>
              <w:t xml:space="preserve"> </w:t>
            </w:r>
            <w:r w:rsidR="00C2412F" w:rsidRPr="003C07A2">
              <w:rPr>
                <w:rFonts w:ascii="Aileron Black" w:hAnsi="Aileron Black"/>
                <w:b/>
                <w:color w:val="000000" w:themeColor="text1"/>
                <w:sz w:val="44"/>
                <w:szCs w:val="96"/>
              </w:rPr>
              <w:t>pugliese(</w:t>
            </w:r>
            <w:r w:rsidR="00A4004B">
              <w:rPr>
                <w:rFonts w:ascii="Aileron Black" w:hAnsi="Aileron Black"/>
                <w:b/>
                <w:color w:val="000000" w:themeColor="text1"/>
                <w:sz w:val="44"/>
                <w:szCs w:val="96"/>
              </w:rPr>
              <w:t xml:space="preserve">anno </w:t>
            </w:r>
            <w:r w:rsidR="00C2412F" w:rsidRPr="003C07A2">
              <w:rPr>
                <w:rFonts w:ascii="Aileron Black" w:hAnsi="Aileron Black"/>
                <w:b/>
                <w:color w:val="000000" w:themeColor="text1"/>
                <w:sz w:val="44"/>
                <w:szCs w:val="96"/>
              </w:rPr>
              <w:t>2020</w:t>
            </w:r>
            <w:r w:rsidR="003C07A2" w:rsidRPr="003C07A2">
              <w:rPr>
                <w:rFonts w:ascii="Aileron Black" w:hAnsi="Aileron Black"/>
                <w:b/>
                <w:color w:val="000000" w:themeColor="text1"/>
                <w:sz w:val="44"/>
                <w:szCs w:val="96"/>
              </w:rPr>
              <w:t xml:space="preserve"> vs </w:t>
            </w:r>
            <w:r w:rsidR="00A4004B">
              <w:rPr>
                <w:rFonts w:ascii="Aileron Black" w:hAnsi="Aileron Black"/>
                <w:b/>
                <w:color w:val="000000" w:themeColor="text1"/>
                <w:sz w:val="44"/>
                <w:szCs w:val="96"/>
              </w:rPr>
              <w:t xml:space="preserve">anno </w:t>
            </w:r>
            <w:r w:rsidR="003C07A2" w:rsidRPr="003C07A2">
              <w:rPr>
                <w:rFonts w:ascii="Aileron Black" w:hAnsi="Aileron Black"/>
                <w:b/>
                <w:color w:val="000000" w:themeColor="text1"/>
                <w:sz w:val="44"/>
                <w:szCs w:val="96"/>
              </w:rPr>
              <w:t>2019</w:t>
            </w:r>
            <w:r w:rsidR="00C2412F" w:rsidRPr="003C07A2">
              <w:rPr>
                <w:rFonts w:ascii="Aileron Black" w:hAnsi="Aileron Black"/>
                <w:b/>
                <w:color w:val="000000" w:themeColor="text1"/>
                <w:sz w:val="44"/>
                <w:szCs w:val="96"/>
              </w:rPr>
              <w:t>)</w:t>
            </w:r>
          </w:p>
          <w:p w:rsidR="00786450" w:rsidRPr="004D1A9C" w:rsidRDefault="00786450" w:rsidP="00786450">
            <w:pPr>
              <w:rPr>
                <w:rFonts w:ascii="Aileron Heavy" w:hAnsi="Aileron Heavy"/>
                <w:color w:val="808080" w:themeColor="background1" w:themeShade="80"/>
                <w:sz w:val="16"/>
                <w:szCs w:val="16"/>
              </w:rPr>
            </w:pPr>
          </w:p>
        </w:tc>
      </w:tr>
      <w:tr w:rsidR="00103D97" w:rsidRPr="00424330" w:rsidTr="00ED0209">
        <w:tblPrEx>
          <w:tblCellMar>
            <w:left w:w="70" w:type="dxa"/>
            <w:right w:w="70" w:type="dxa"/>
          </w:tblCellMar>
        </w:tblPrEx>
        <w:tc>
          <w:tcPr>
            <w:tcW w:w="2155" w:type="dxa"/>
          </w:tcPr>
          <w:p w:rsidR="00295E4D" w:rsidRPr="00FC77DA" w:rsidRDefault="00C2412F" w:rsidP="00EB42FB">
            <w:pPr>
              <w:rPr>
                <w:rFonts w:ascii="Arial Black" w:hAnsi="Arial Black"/>
                <w:b/>
                <w:color w:val="595959" w:themeColor="text1" w:themeTint="A6"/>
                <w:szCs w:val="24"/>
              </w:rPr>
            </w:pPr>
            <w:proofErr w:type="gramStart"/>
            <w:r w:rsidRPr="00FC77DA">
              <w:rPr>
                <w:rFonts w:ascii="Arial Black" w:hAnsi="Arial Black"/>
                <w:b/>
                <w:color w:val="595959" w:themeColor="text1" w:themeTint="A6"/>
                <w:szCs w:val="24"/>
              </w:rPr>
              <w:t>Cosa è</w:t>
            </w:r>
            <w:proofErr w:type="gramEnd"/>
            <w:r w:rsidRPr="00FC77DA">
              <w:rPr>
                <w:rFonts w:ascii="Arial Black" w:hAnsi="Arial Black"/>
                <w:b/>
                <w:color w:val="595959" w:themeColor="text1" w:themeTint="A6"/>
                <w:szCs w:val="24"/>
              </w:rPr>
              <w:t xml:space="preserve"> successo </w:t>
            </w:r>
            <w:r w:rsidR="00CA39CC">
              <w:rPr>
                <w:rFonts w:ascii="Arial Black" w:hAnsi="Arial Black"/>
                <w:b/>
                <w:color w:val="595959" w:themeColor="text1" w:themeTint="A6"/>
                <w:szCs w:val="24"/>
              </w:rPr>
              <w:t>nel</w:t>
            </w:r>
            <w:r w:rsidRPr="00FC77DA">
              <w:rPr>
                <w:rFonts w:ascii="Arial Black" w:hAnsi="Arial Black"/>
                <w:b/>
                <w:color w:val="595959" w:themeColor="text1" w:themeTint="A6"/>
                <w:szCs w:val="24"/>
              </w:rPr>
              <w:t xml:space="preserve"> 2020</w:t>
            </w:r>
          </w:p>
          <w:p w:rsidR="00EB42FB" w:rsidRPr="00FC77DA" w:rsidRDefault="00EB42FB" w:rsidP="00EB42FB">
            <w:pPr>
              <w:rPr>
                <w:rFonts w:ascii="Arial Black" w:hAnsi="Arial Black"/>
                <w:color w:val="595959" w:themeColor="text1" w:themeTint="A6"/>
                <w:szCs w:val="24"/>
              </w:rPr>
            </w:pPr>
          </w:p>
        </w:tc>
        <w:tc>
          <w:tcPr>
            <w:tcW w:w="7699" w:type="dxa"/>
          </w:tcPr>
          <w:p w:rsidR="00A73246" w:rsidRDefault="00C03564" w:rsidP="004E58A2">
            <w:pPr>
              <w:jc w:val="both"/>
            </w:pPr>
            <w:r>
              <w:t>L’economia pugliese</w:t>
            </w:r>
            <w:r w:rsidR="006719A3" w:rsidRPr="00FC77DA">
              <w:t xml:space="preserve"> </w:t>
            </w:r>
            <w:r w:rsidR="000E5D46" w:rsidRPr="00FC77DA">
              <w:rPr>
                <w:b/>
              </w:rPr>
              <w:t xml:space="preserve">al </w:t>
            </w:r>
            <w:r w:rsidR="000E5D46">
              <w:rPr>
                <w:b/>
              </w:rPr>
              <w:t>31 dicembre</w:t>
            </w:r>
            <w:r w:rsidR="000E5D46" w:rsidRPr="00FC77DA">
              <w:rPr>
                <w:b/>
              </w:rPr>
              <w:t xml:space="preserve"> 2020 </w:t>
            </w:r>
            <w:r w:rsidR="000E5D46">
              <w:t>conta</w:t>
            </w:r>
            <w:r w:rsidR="003C07A2" w:rsidRPr="00FC77DA">
              <w:t xml:space="preserve"> </w:t>
            </w:r>
            <w:r w:rsidR="00D8379B" w:rsidRPr="00D8379B">
              <w:rPr>
                <w:b/>
              </w:rPr>
              <w:t>382.535</w:t>
            </w:r>
            <w:r w:rsidR="003C07A2" w:rsidRPr="00FC77DA">
              <w:rPr>
                <w:b/>
              </w:rPr>
              <w:t xml:space="preserve"> imprese registrate </w:t>
            </w:r>
            <w:r w:rsidR="002351C7" w:rsidRPr="00FC77DA">
              <w:rPr>
                <w:b/>
              </w:rPr>
              <w:t>(+</w:t>
            </w:r>
            <w:r w:rsidR="00D8379B" w:rsidRPr="00D8379B">
              <w:rPr>
                <w:b/>
              </w:rPr>
              <w:t>1.</w:t>
            </w:r>
            <w:proofErr w:type="gramStart"/>
            <w:r w:rsidR="00D8379B" w:rsidRPr="00D8379B">
              <w:rPr>
                <w:b/>
              </w:rPr>
              <w:t>222</w:t>
            </w:r>
            <w:r w:rsidR="002351C7" w:rsidRPr="00FC77DA">
              <w:rPr>
                <w:b/>
              </w:rPr>
              <w:t xml:space="preserve"> rispetto</w:t>
            </w:r>
            <w:proofErr w:type="gramEnd"/>
            <w:r w:rsidR="002351C7" w:rsidRPr="00FC77DA">
              <w:rPr>
                <w:b/>
              </w:rPr>
              <w:t xml:space="preserve"> al dato di fine 2019) e </w:t>
            </w:r>
            <w:r w:rsidR="00B05DE7" w:rsidRPr="00B05DE7">
              <w:rPr>
                <w:b/>
              </w:rPr>
              <w:t>1.122.456</w:t>
            </w:r>
            <w:r w:rsidR="00B05DE7">
              <w:rPr>
                <w:b/>
              </w:rPr>
              <w:t xml:space="preserve"> </w:t>
            </w:r>
            <w:r w:rsidR="003C07A2" w:rsidRPr="00FC77DA">
              <w:rPr>
                <w:b/>
              </w:rPr>
              <w:t>addetti</w:t>
            </w:r>
            <w:r w:rsidR="002351C7" w:rsidRPr="00FC77DA">
              <w:rPr>
                <w:b/>
              </w:rPr>
              <w:t xml:space="preserve"> (-</w:t>
            </w:r>
            <w:r w:rsidR="00B05DE7">
              <w:rPr>
                <w:b/>
              </w:rPr>
              <w:t>16.405</w:t>
            </w:r>
            <w:r w:rsidR="002351C7" w:rsidRPr="00FC77DA">
              <w:rPr>
                <w:b/>
              </w:rPr>
              <w:t xml:space="preserve"> unità)</w:t>
            </w:r>
            <w:r w:rsidR="003C07A2" w:rsidRPr="00FC77DA">
              <w:rPr>
                <w:b/>
              </w:rPr>
              <w:t>.</w:t>
            </w:r>
            <w:r w:rsidR="002351C7" w:rsidRPr="00FC77DA">
              <w:t xml:space="preserve"> </w:t>
            </w:r>
          </w:p>
          <w:p w:rsidR="00DD67DF" w:rsidRDefault="000E5D46" w:rsidP="004E58A2">
            <w:pPr>
              <w:jc w:val="both"/>
            </w:pPr>
            <w:r w:rsidRPr="00A4004B">
              <w:rPr>
                <w:b/>
              </w:rPr>
              <w:t>N</w:t>
            </w:r>
            <w:r w:rsidR="00B05DE7" w:rsidRPr="00A4004B">
              <w:rPr>
                <w:b/>
              </w:rPr>
              <w:t xml:space="preserve">on vi è stato </w:t>
            </w:r>
            <w:r w:rsidRPr="00A4004B">
              <w:rPr>
                <w:b/>
              </w:rPr>
              <w:t xml:space="preserve">quindi </w:t>
            </w:r>
            <w:r w:rsidR="00B05DE7" w:rsidRPr="00A4004B">
              <w:rPr>
                <w:b/>
              </w:rPr>
              <w:t xml:space="preserve">un tracollo dello stock </w:t>
            </w:r>
            <w:proofErr w:type="gramStart"/>
            <w:r w:rsidR="00B05DE7" w:rsidRPr="00A4004B">
              <w:rPr>
                <w:b/>
              </w:rPr>
              <w:t xml:space="preserve">di </w:t>
            </w:r>
            <w:proofErr w:type="gramEnd"/>
            <w:r w:rsidR="00B05DE7" w:rsidRPr="00A4004B">
              <w:rPr>
                <w:b/>
              </w:rPr>
              <w:t>imprese, che addirittura sono cresciute</w:t>
            </w:r>
            <w:r w:rsidR="008F75D4">
              <w:t xml:space="preserve">, secondo una linea di tendenza per altro costante negli ultimi </w:t>
            </w:r>
            <w:r w:rsidR="00A73246">
              <w:t>anni</w:t>
            </w:r>
            <w:r w:rsidR="008F75D4">
              <w:t xml:space="preserve">, </w:t>
            </w:r>
            <w:r w:rsidR="00A4004B">
              <w:t>al netto dei</w:t>
            </w:r>
            <w:r w:rsidR="008F75D4">
              <w:t xml:space="preserve"> fattori stagionali:</w:t>
            </w:r>
          </w:p>
          <w:p w:rsidR="008F75D4" w:rsidRDefault="008F75D4" w:rsidP="004E58A2">
            <w:pPr>
              <w:jc w:val="both"/>
            </w:pPr>
            <w:r w:rsidRPr="008F75D4">
              <w:rPr>
                <w:noProof/>
                <w:lang w:eastAsia="it-IT"/>
              </w:rPr>
              <w:drawing>
                <wp:inline distT="0" distB="0" distL="0" distR="0">
                  <wp:extent cx="2888857" cy="1488934"/>
                  <wp:effectExtent l="0" t="0" r="6743" b="0"/>
                  <wp:docPr id="5" name="Gra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8003A3" w:rsidRDefault="000E5D46" w:rsidP="008003A3">
            <w:pPr>
              <w:jc w:val="both"/>
            </w:pPr>
            <w:r>
              <w:t xml:space="preserve">Come </w:t>
            </w:r>
            <w:proofErr w:type="gramStart"/>
            <w:r>
              <w:t xml:space="preserve">si </w:t>
            </w:r>
            <w:proofErr w:type="gramEnd"/>
            <w:r>
              <w:t xml:space="preserve">inquadra questo dato? Innanzi tutto si noti </w:t>
            </w:r>
            <w:r w:rsidRPr="000E5D46">
              <w:rPr>
                <w:b/>
              </w:rPr>
              <w:t xml:space="preserve">che il </w:t>
            </w:r>
            <w:r w:rsidR="008003A3" w:rsidRPr="000E5D46">
              <w:rPr>
                <w:b/>
              </w:rPr>
              <w:t>saldo fra imprese del 2019 e 2020</w:t>
            </w:r>
            <w:r w:rsidRPr="000E5D46">
              <w:rPr>
                <w:b/>
              </w:rPr>
              <w:t xml:space="preserve">, </w:t>
            </w:r>
            <w:r w:rsidR="008003A3" w:rsidRPr="000E5D46">
              <w:rPr>
                <w:b/>
              </w:rPr>
              <w:t>è positivo anche in altre regioni del sud</w:t>
            </w:r>
            <w:r w:rsidR="008003A3">
              <w:t xml:space="preserve">, perfino con dinamiche più </w:t>
            </w:r>
            <w:r>
              <w:t>accentuate</w:t>
            </w:r>
            <w:r w:rsidR="008003A3">
              <w:t xml:space="preserve"> della Puglia. </w:t>
            </w:r>
            <w:r w:rsidR="00A73246">
              <w:t>Come si vede, invece, più</w:t>
            </w:r>
            <w:r w:rsidR="008003A3">
              <w:t xml:space="preserve"> si sale in latitudine, più la </w:t>
            </w:r>
            <w:r w:rsidR="00A73246">
              <w:t>tendenza</w:t>
            </w:r>
            <w:r w:rsidR="008003A3">
              <w:t xml:space="preserve"> </w:t>
            </w:r>
            <w:proofErr w:type="gramStart"/>
            <w:r w:rsidR="008003A3">
              <w:t xml:space="preserve">si </w:t>
            </w:r>
            <w:proofErr w:type="gramEnd"/>
            <w:r w:rsidR="008003A3">
              <w:t>inverte:</w:t>
            </w:r>
          </w:p>
          <w:tbl>
            <w:tblPr>
              <w:tblW w:w="3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55"/>
              <w:gridCol w:w="1165"/>
            </w:tblGrid>
            <w:tr w:rsidR="008003A3" w:rsidRPr="00201174" w:rsidTr="000E5D46">
              <w:trPr>
                <w:trHeight w:val="255"/>
              </w:trPr>
              <w:tc>
                <w:tcPr>
                  <w:tcW w:w="255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Regione</w:t>
                  </w:r>
                </w:p>
              </w:tc>
              <w:tc>
                <w:tcPr>
                  <w:tcW w:w="1165" w:type="dxa"/>
                  <w:tcBorders>
                    <w:top w:val="single" w:sz="8" w:space="0" w:color="auto"/>
                    <w:left w:val="nil"/>
                    <w:bottom w:val="single" w:sz="4" w:space="0" w:color="999999"/>
                    <w:right w:val="single" w:sz="8" w:space="0" w:color="auto"/>
                  </w:tcBorders>
                  <w:shd w:val="clear" w:color="auto" w:fill="D9D9D9" w:themeFill="background1" w:themeFillShade="D9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Registrate</w:t>
                  </w:r>
                </w:p>
              </w:tc>
            </w:tr>
            <w:tr w:rsidR="008003A3" w:rsidRPr="00201174" w:rsidTr="00FF41C0">
              <w:trPr>
                <w:trHeight w:val="255"/>
              </w:trPr>
              <w:tc>
                <w:tcPr>
                  <w:tcW w:w="2555" w:type="dxa"/>
                  <w:tcBorders>
                    <w:top w:val="nil"/>
                    <w:left w:val="single" w:sz="8" w:space="0" w:color="auto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ABRUZZO</w:t>
                  </w:r>
                  <w:proofErr w:type="gramStart"/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 xml:space="preserve">              </w:t>
                  </w:r>
                  <w:proofErr w:type="gramEnd"/>
                </w:p>
              </w:tc>
              <w:tc>
                <w:tcPr>
                  <w:tcW w:w="116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8" w:space="0" w:color="auto"/>
                  </w:tcBorders>
                  <w:shd w:val="clear" w:color="000000" w:fill="FEEA83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-339</w:t>
                  </w:r>
                </w:p>
              </w:tc>
            </w:tr>
            <w:tr w:rsidR="008003A3" w:rsidRPr="00201174" w:rsidTr="00FF41C0">
              <w:trPr>
                <w:trHeight w:val="255"/>
              </w:trPr>
              <w:tc>
                <w:tcPr>
                  <w:tcW w:w="2555" w:type="dxa"/>
                  <w:tcBorders>
                    <w:top w:val="nil"/>
                    <w:left w:val="single" w:sz="8" w:space="0" w:color="auto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BASILICATA</w:t>
                  </w:r>
                  <w:proofErr w:type="gramStart"/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 xml:space="preserve">           </w:t>
                  </w:r>
                  <w:proofErr w:type="gramEnd"/>
                </w:p>
              </w:tc>
              <w:tc>
                <w:tcPr>
                  <w:tcW w:w="116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8" w:space="0" w:color="auto"/>
                  </w:tcBorders>
                  <w:shd w:val="clear" w:color="000000" w:fill="F4E884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89</w:t>
                  </w:r>
                </w:p>
              </w:tc>
            </w:tr>
            <w:tr w:rsidR="008003A3" w:rsidRPr="00201174" w:rsidTr="00FF41C0">
              <w:trPr>
                <w:trHeight w:val="255"/>
              </w:trPr>
              <w:tc>
                <w:tcPr>
                  <w:tcW w:w="2555" w:type="dxa"/>
                  <w:tcBorders>
                    <w:top w:val="nil"/>
                    <w:left w:val="single" w:sz="8" w:space="0" w:color="auto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CALABRIA</w:t>
                  </w:r>
                  <w:proofErr w:type="gramStart"/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 xml:space="preserve">             </w:t>
                  </w:r>
                  <w:proofErr w:type="gramEnd"/>
                </w:p>
              </w:tc>
              <w:tc>
                <w:tcPr>
                  <w:tcW w:w="116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8" w:space="0" w:color="auto"/>
                  </w:tcBorders>
                  <w:shd w:val="clear" w:color="000000" w:fill="DDE283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934</w:t>
                  </w:r>
                </w:p>
              </w:tc>
            </w:tr>
            <w:tr w:rsidR="008003A3" w:rsidRPr="00201174" w:rsidTr="00FF41C0">
              <w:trPr>
                <w:trHeight w:val="255"/>
              </w:trPr>
              <w:tc>
                <w:tcPr>
                  <w:tcW w:w="2555" w:type="dxa"/>
                  <w:tcBorders>
                    <w:top w:val="nil"/>
                    <w:left w:val="single" w:sz="8" w:space="0" w:color="auto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CAMPANIA</w:t>
                  </w:r>
                  <w:proofErr w:type="gramStart"/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 xml:space="preserve">             </w:t>
                  </w:r>
                  <w:proofErr w:type="gramEnd"/>
                </w:p>
              </w:tc>
              <w:tc>
                <w:tcPr>
                  <w:tcW w:w="116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8" w:space="0" w:color="auto"/>
                  </w:tcBorders>
                  <w:shd w:val="clear" w:color="000000" w:fill="63BE7B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5.426</w:t>
                  </w:r>
                </w:p>
              </w:tc>
            </w:tr>
            <w:tr w:rsidR="008003A3" w:rsidRPr="00201174" w:rsidTr="00FF41C0">
              <w:trPr>
                <w:trHeight w:val="255"/>
              </w:trPr>
              <w:tc>
                <w:tcPr>
                  <w:tcW w:w="2555" w:type="dxa"/>
                  <w:tcBorders>
                    <w:top w:val="nil"/>
                    <w:left w:val="single" w:sz="8" w:space="0" w:color="auto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EMILIA ROMAGNA</w:t>
                  </w:r>
                  <w:proofErr w:type="gramStart"/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 xml:space="preserve">       </w:t>
                  </w:r>
                  <w:proofErr w:type="gramEnd"/>
                </w:p>
              </w:tc>
              <w:tc>
                <w:tcPr>
                  <w:tcW w:w="116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8" w:space="0" w:color="auto"/>
                  </w:tcBorders>
                  <w:shd w:val="clear" w:color="000000" w:fill="FBAE78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-2.615</w:t>
                  </w:r>
                </w:p>
              </w:tc>
            </w:tr>
            <w:tr w:rsidR="008003A3" w:rsidRPr="00201174" w:rsidTr="00FF41C0">
              <w:trPr>
                <w:trHeight w:val="255"/>
              </w:trPr>
              <w:tc>
                <w:tcPr>
                  <w:tcW w:w="2555" w:type="dxa"/>
                  <w:tcBorders>
                    <w:top w:val="nil"/>
                    <w:left w:val="single" w:sz="8" w:space="0" w:color="auto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FRIULI-VENEZIA GIULIA</w:t>
                  </w:r>
                </w:p>
              </w:tc>
              <w:tc>
                <w:tcPr>
                  <w:tcW w:w="116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8" w:space="0" w:color="auto"/>
                  </w:tcBorders>
                  <w:shd w:val="clear" w:color="000000" w:fill="FEE382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-619</w:t>
                  </w:r>
                </w:p>
              </w:tc>
            </w:tr>
            <w:tr w:rsidR="008003A3" w:rsidRPr="00201174" w:rsidTr="00FF41C0">
              <w:trPr>
                <w:trHeight w:val="255"/>
              </w:trPr>
              <w:tc>
                <w:tcPr>
                  <w:tcW w:w="2555" w:type="dxa"/>
                  <w:tcBorders>
                    <w:top w:val="nil"/>
                    <w:left w:val="single" w:sz="8" w:space="0" w:color="auto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LAZIO</w:t>
                  </w:r>
                  <w:proofErr w:type="gramStart"/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 xml:space="preserve">                </w:t>
                  </w:r>
                  <w:proofErr w:type="gramEnd"/>
                </w:p>
              </w:tc>
              <w:tc>
                <w:tcPr>
                  <w:tcW w:w="116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8" w:space="0" w:color="auto"/>
                  </w:tcBorders>
                  <w:shd w:val="clear" w:color="000000" w:fill="F97C6E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-4.546</w:t>
                  </w:r>
                </w:p>
              </w:tc>
            </w:tr>
            <w:tr w:rsidR="008003A3" w:rsidRPr="00201174" w:rsidTr="00FF41C0">
              <w:trPr>
                <w:trHeight w:val="255"/>
              </w:trPr>
              <w:tc>
                <w:tcPr>
                  <w:tcW w:w="2555" w:type="dxa"/>
                  <w:tcBorders>
                    <w:top w:val="nil"/>
                    <w:left w:val="single" w:sz="8" w:space="0" w:color="auto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LIGURIA</w:t>
                  </w:r>
                  <w:proofErr w:type="gramStart"/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 xml:space="preserve">              </w:t>
                  </w:r>
                  <w:proofErr w:type="gramEnd"/>
                </w:p>
              </w:tc>
              <w:tc>
                <w:tcPr>
                  <w:tcW w:w="116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8" w:space="0" w:color="auto"/>
                  </w:tcBorders>
                  <w:shd w:val="clear" w:color="000000" w:fill="FED880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-1.019</w:t>
                  </w:r>
                </w:p>
              </w:tc>
            </w:tr>
            <w:tr w:rsidR="008003A3" w:rsidRPr="00201174" w:rsidTr="00FF41C0">
              <w:trPr>
                <w:trHeight w:val="255"/>
              </w:trPr>
              <w:tc>
                <w:tcPr>
                  <w:tcW w:w="2555" w:type="dxa"/>
                  <w:tcBorders>
                    <w:top w:val="nil"/>
                    <w:left w:val="single" w:sz="8" w:space="0" w:color="auto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LOMBARDIA</w:t>
                  </w:r>
                  <w:proofErr w:type="gramStart"/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 xml:space="preserve">            </w:t>
                  </w:r>
                  <w:proofErr w:type="gramEnd"/>
                </w:p>
              </w:tc>
              <w:tc>
                <w:tcPr>
                  <w:tcW w:w="116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8" w:space="0" w:color="auto"/>
                  </w:tcBorders>
                  <w:shd w:val="clear" w:color="000000" w:fill="F8696B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-5.273</w:t>
                  </w:r>
                </w:p>
              </w:tc>
            </w:tr>
            <w:tr w:rsidR="008003A3" w:rsidRPr="00201174" w:rsidTr="00FF41C0">
              <w:trPr>
                <w:trHeight w:val="255"/>
              </w:trPr>
              <w:tc>
                <w:tcPr>
                  <w:tcW w:w="2555" w:type="dxa"/>
                  <w:tcBorders>
                    <w:top w:val="nil"/>
                    <w:left w:val="single" w:sz="8" w:space="0" w:color="auto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MARCHE</w:t>
                  </w:r>
                  <w:proofErr w:type="gramStart"/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 xml:space="preserve">               </w:t>
                  </w:r>
                  <w:proofErr w:type="gramEnd"/>
                </w:p>
              </w:tc>
              <w:tc>
                <w:tcPr>
                  <w:tcW w:w="116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8" w:space="0" w:color="auto"/>
                  </w:tcBorders>
                  <w:shd w:val="clear" w:color="000000" w:fill="FDC57C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-1.735</w:t>
                  </w:r>
                </w:p>
              </w:tc>
            </w:tr>
            <w:tr w:rsidR="008003A3" w:rsidRPr="00201174" w:rsidTr="00FF41C0">
              <w:trPr>
                <w:trHeight w:val="255"/>
              </w:trPr>
              <w:tc>
                <w:tcPr>
                  <w:tcW w:w="2555" w:type="dxa"/>
                  <w:tcBorders>
                    <w:top w:val="nil"/>
                    <w:left w:val="single" w:sz="8" w:space="0" w:color="auto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MOLISE</w:t>
                  </w:r>
                  <w:proofErr w:type="gramStart"/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 xml:space="preserve">               </w:t>
                  </w:r>
                  <w:proofErr w:type="gramEnd"/>
                </w:p>
              </w:tc>
              <w:tc>
                <w:tcPr>
                  <w:tcW w:w="116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8" w:space="0" w:color="auto"/>
                  </w:tcBorders>
                  <w:shd w:val="clear" w:color="000000" w:fill="FFEB84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-303</w:t>
                  </w:r>
                </w:p>
              </w:tc>
            </w:tr>
            <w:tr w:rsidR="008003A3" w:rsidRPr="00201174" w:rsidTr="00FF41C0">
              <w:trPr>
                <w:trHeight w:val="255"/>
              </w:trPr>
              <w:tc>
                <w:tcPr>
                  <w:tcW w:w="2555" w:type="dxa"/>
                  <w:tcBorders>
                    <w:top w:val="nil"/>
                    <w:left w:val="single" w:sz="8" w:space="0" w:color="auto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PIEMONTE</w:t>
                  </w:r>
                  <w:proofErr w:type="gramStart"/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 xml:space="preserve">             </w:t>
                  </w:r>
                  <w:proofErr w:type="gramEnd"/>
                </w:p>
              </w:tc>
              <w:tc>
                <w:tcPr>
                  <w:tcW w:w="116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8" w:space="0" w:color="auto"/>
                  </w:tcBorders>
                  <w:shd w:val="clear" w:color="000000" w:fill="FCBB7A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-2.143</w:t>
                  </w:r>
                </w:p>
              </w:tc>
            </w:tr>
            <w:tr w:rsidR="008003A3" w:rsidRPr="00201174" w:rsidTr="00FF41C0">
              <w:trPr>
                <w:trHeight w:val="255"/>
              </w:trPr>
              <w:tc>
                <w:tcPr>
                  <w:tcW w:w="2555" w:type="dxa"/>
                  <w:tcBorders>
                    <w:top w:val="nil"/>
                    <w:left w:val="single" w:sz="8" w:space="0" w:color="auto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PUGLIA</w:t>
                  </w:r>
                  <w:proofErr w:type="gramStart"/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 xml:space="preserve">               </w:t>
                  </w:r>
                  <w:proofErr w:type="gramEnd"/>
                </w:p>
              </w:tc>
              <w:tc>
                <w:tcPr>
                  <w:tcW w:w="116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8" w:space="0" w:color="auto"/>
                  </w:tcBorders>
                  <w:shd w:val="clear" w:color="000000" w:fill="D6DF82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1.222</w:t>
                  </w:r>
                </w:p>
              </w:tc>
            </w:tr>
            <w:tr w:rsidR="008003A3" w:rsidRPr="00201174" w:rsidTr="00FF41C0">
              <w:trPr>
                <w:trHeight w:val="255"/>
              </w:trPr>
              <w:tc>
                <w:tcPr>
                  <w:tcW w:w="2555" w:type="dxa"/>
                  <w:tcBorders>
                    <w:top w:val="nil"/>
                    <w:left w:val="single" w:sz="8" w:space="0" w:color="auto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SARDEGNA</w:t>
                  </w:r>
                  <w:proofErr w:type="gramStart"/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 xml:space="preserve">             </w:t>
                  </w:r>
                  <w:proofErr w:type="gramEnd"/>
                </w:p>
              </w:tc>
              <w:tc>
                <w:tcPr>
                  <w:tcW w:w="116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8" w:space="0" w:color="auto"/>
                  </w:tcBorders>
                  <w:shd w:val="clear" w:color="000000" w:fill="EBE683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432</w:t>
                  </w:r>
                </w:p>
              </w:tc>
            </w:tr>
            <w:tr w:rsidR="008003A3" w:rsidRPr="00201174" w:rsidTr="00FF41C0">
              <w:trPr>
                <w:trHeight w:val="255"/>
              </w:trPr>
              <w:tc>
                <w:tcPr>
                  <w:tcW w:w="2555" w:type="dxa"/>
                  <w:tcBorders>
                    <w:top w:val="nil"/>
                    <w:left w:val="single" w:sz="8" w:space="0" w:color="auto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SICILIA</w:t>
                  </w:r>
                  <w:proofErr w:type="gramStart"/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 xml:space="preserve">              </w:t>
                  </w:r>
                  <w:proofErr w:type="gramEnd"/>
                </w:p>
              </w:tc>
              <w:tc>
                <w:tcPr>
                  <w:tcW w:w="116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8" w:space="0" w:color="auto"/>
                  </w:tcBorders>
                  <w:shd w:val="clear" w:color="000000" w:fill="97CD7E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3.539</w:t>
                  </w:r>
                </w:p>
              </w:tc>
            </w:tr>
            <w:tr w:rsidR="008003A3" w:rsidRPr="00201174" w:rsidTr="00FF41C0">
              <w:trPr>
                <w:trHeight w:val="255"/>
              </w:trPr>
              <w:tc>
                <w:tcPr>
                  <w:tcW w:w="2555" w:type="dxa"/>
                  <w:tcBorders>
                    <w:top w:val="nil"/>
                    <w:left w:val="single" w:sz="8" w:space="0" w:color="auto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TOSCANA</w:t>
                  </w:r>
                  <w:proofErr w:type="gramStart"/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 xml:space="preserve">              </w:t>
                  </w:r>
                  <w:proofErr w:type="gramEnd"/>
                </w:p>
              </w:tc>
              <w:tc>
                <w:tcPr>
                  <w:tcW w:w="116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8" w:space="0" w:color="auto"/>
                  </w:tcBorders>
                  <w:shd w:val="clear" w:color="000000" w:fill="FBAE78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-2.611</w:t>
                  </w:r>
                </w:p>
              </w:tc>
            </w:tr>
            <w:tr w:rsidR="008003A3" w:rsidRPr="00201174" w:rsidTr="00FF41C0">
              <w:trPr>
                <w:trHeight w:val="255"/>
              </w:trPr>
              <w:tc>
                <w:tcPr>
                  <w:tcW w:w="2555" w:type="dxa"/>
                  <w:tcBorders>
                    <w:top w:val="nil"/>
                    <w:left w:val="single" w:sz="8" w:space="0" w:color="auto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TRENTINO - ALTO ADIGE</w:t>
                  </w:r>
                </w:p>
              </w:tc>
              <w:tc>
                <w:tcPr>
                  <w:tcW w:w="116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8" w:space="0" w:color="auto"/>
                  </w:tcBorders>
                  <w:shd w:val="clear" w:color="000000" w:fill="F0E784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239</w:t>
                  </w:r>
                </w:p>
              </w:tc>
            </w:tr>
            <w:tr w:rsidR="008003A3" w:rsidRPr="00201174" w:rsidTr="00FF41C0">
              <w:trPr>
                <w:trHeight w:val="255"/>
              </w:trPr>
              <w:tc>
                <w:tcPr>
                  <w:tcW w:w="2555" w:type="dxa"/>
                  <w:tcBorders>
                    <w:top w:val="nil"/>
                    <w:left w:val="single" w:sz="8" w:space="0" w:color="auto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UMBRIA</w:t>
                  </w:r>
                  <w:proofErr w:type="gramStart"/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 xml:space="preserve">               </w:t>
                  </w:r>
                  <w:proofErr w:type="gramEnd"/>
                </w:p>
              </w:tc>
              <w:tc>
                <w:tcPr>
                  <w:tcW w:w="116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8" w:space="0" w:color="auto"/>
                  </w:tcBorders>
                  <w:shd w:val="clear" w:color="000000" w:fill="FAEA84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-121</w:t>
                  </w:r>
                </w:p>
              </w:tc>
            </w:tr>
            <w:tr w:rsidR="008003A3" w:rsidRPr="00201174" w:rsidTr="00FF41C0">
              <w:trPr>
                <w:trHeight w:val="255"/>
              </w:trPr>
              <w:tc>
                <w:tcPr>
                  <w:tcW w:w="2555" w:type="dxa"/>
                  <w:tcBorders>
                    <w:top w:val="nil"/>
                    <w:left w:val="single" w:sz="8" w:space="0" w:color="auto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VALLE D'AOSTA</w:t>
                  </w:r>
                  <w:proofErr w:type="gramStart"/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 xml:space="preserve">        </w:t>
                  </w:r>
                  <w:proofErr w:type="gramEnd"/>
                </w:p>
              </w:tc>
              <w:tc>
                <w:tcPr>
                  <w:tcW w:w="116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8" w:space="0" w:color="auto"/>
                  </w:tcBorders>
                  <w:shd w:val="clear" w:color="000000" w:fill="FAEA84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-106</w:t>
                  </w:r>
                </w:p>
              </w:tc>
            </w:tr>
            <w:tr w:rsidR="008003A3" w:rsidRPr="00201174" w:rsidTr="000E5D46">
              <w:trPr>
                <w:trHeight w:val="255"/>
              </w:trPr>
              <w:tc>
                <w:tcPr>
                  <w:tcW w:w="2555" w:type="dxa"/>
                  <w:tcBorders>
                    <w:top w:val="nil"/>
                    <w:left w:val="single" w:sz="8" w:space="0" w:color="auto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VENETO</w:t>
                  </w:r>
                  <w:proofErr w:type="gramStart"/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 xml:space="preserve">               </w:t>
                  </w:r>
                  <w:proofErr w:type="gramEnd"/>
                </w:p>
              </w:tc>
              <w:tc>
                <w:tcPr>
                  <w:tcW w:w="116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8" w:space="0" w:color="auto"/>
                  </w:tcBorders>
                  <w:shd w:val="clear" w:color="000000" w:fill="F9806F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sz w:val="16"/>
                      <w:szCs w:val="20"/>
                      <w:lang w:eastAsia="it-IT"/>
                    </w:rPr>
                    <w:t>-4.391</w:t>
                  </w:r>
                </w:p>
              </w:tc>
            </w:tr>
            <w:tr w:rsidR="008003A3" w:rsidRPr="00201174" w:rsidTr="000E5D46">
              <w:trPr>
                <w:trHeight w:val="270"/>
              </w:trPr>
              <w:tc>
                <w:tcPr>
                  <w:tcW w:w="2555" w:type="dxa"/>
                  <w:tcBorders>
                    <w:top w:val="single" w:sz="4" w:space="0" w:color="999999"/>
                    <w:left w:val="single" w:sz="8" w:space="0" w:color="auto"/>
                    <w:bottom w:val="single" w:sz="8" w:space="0" w:color="auto"/>
                    <w:right w:val="single" w:sz="4" w:space="0" w:color="999999"/>
                  </w:tcBorders>
                  <w:shd w:val="clear" w:color="000000" w:fill="D9D9D9" w:themeFill="background1" w:themeFillShade="D9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20"/>
                      <w:lang w:eastAsia="it-IT"/>
                    </w:rPr>
                    <w:t>Grand Total</w:t>
                  </w:r>
                </w:p>
              </w:tc>
              <w:tc>
                <w:tcPr>
                  <w:tcW w:w="1165" w:type="dxa"/>
                  <w:tcBorders>
                    <w:top w:val="single" w:sz="4" w:space="0" w:color="999999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 w:themeFill="background1" w:themeFillShade="D9"/>
                  <w:noWrap/>
                  <w:vAlign w:val="center"/>
                  <w:hideMark/>
                </w:tcPr>
                <w:p w:rsidR="008003A3" w:rsidRPr="00201174" w:rsidRDefault="008003A3" w:rsidP="00FF41C0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20"/>
                      <w:lang w:eastAsia="it-IT"/>
                    </w:rPr>
                  </w:pPr>
                  <w:r w:rsidRPr="00201174"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20"/>
                      <w:lang w:eastAsia="it-IT"/>
                    </w:rPr>
                    <w:t>-13.940</w:t>
                  </w:r>
                </w:p>
              </w:tc>
            </w:tr>
          </w:tbl>
          <w:p w:rsidR="008003A3" w:rsidRDefault="002B4E5A" w:rsidP="002B4E5A">
            <w:pPr>
              <w:jc w:val="both"/>
            </w:pPr>
            <w:r>
              <w:lastRenderedPageBreak/>
              <w:t xml:space="preserve">Non sappiamo se il fenomeno nasca più da fattori antropologici o economici, </w:t>
            </w:r>
            <w:r w:rsidR="003F3A7E">
              <w:t xml:space="preserve">ma </w:t>
            </w:r>
            <w:r w:rsidR="00A73246">
              <w:t xml:space="preserve">il varo di </w:t>
            </w:r>
            <w:r w:rsidR="00A73246" w:rsidRPr="002B4E5A">
              <w:rPr>
                <w:b/>
              </w:rPr>
              <w:t xml:space="preserve">strumenti finanziari e fiscali </w:t>
            </w:r>
            <w:r w:rsidR="00A73246">
              <w:rPr>
                <w:b/>
              </w:rPr>
              <w:t>da parte del</w:t>
            </w:r>
            <w:r w:rsidR="00A73246" w:rsidRPr="002B4E5A">
              <w:rPr>
                <w:b/>
              </w:rPr>
              <w:t xml:space="preserve"> Governo</w:t>
            </w:r>
            <w:r w:rsidR="00A73246">
              <w:t xml:space="preserve"> potrebbe aver esercitato </w:t>
            </w:r>
            <w:r w:rsidR="003F3A7E">
              <w:t>un certo</w:t>
            </w:r>
            <w:r>
              <w:t xml:space="preserve"> impatto </w:t>
            </w:r>
            <w:r w:rsidR="003F3A7E">
              <w:t>nell’immediato</w:t>
            </w:r>
            <w:r w:rsidR="008003A3" w:rsidRPr="00FC77DA">
              <w:t xml:space="preserve">. </w:t>
            </w:r>
            <w:r w:rsidR="00A73246">
              <w:t xml:space="preserve">Nei prossimi mesi </w:t>
            </w:r>
            <w:r w:rsidR="003F3A7E">
              <w:t>occorrerà</w:t>
            </w:r>
            <w:r w:rsidR="008003A3" w:rsidRPr="00FC77DA">
              <w:t xml:space="preserve"> </w:t>
            </w:r>
            <w:r w:rsidR="00A73246">
              <w:t xml:space="preserve">però </w:t>
            </w:r>
            <w:r w:rsidR="008003A3" w:rsidRPr="00FC77DA">
              <w:t xml:space="preserve">capire </w:t>
            </w:r>
            <w:r w:rsidR="003F3A7E">
              <w:t xml:space="preserve">alcune cose. La prima è </w:t>
            </w:r>
            <w:r>
              <w:t xml:space="preserve">se la dinamica di diminuzione che si vede in quasi tutto il centro-nord arriverà anche in Puglia e in tutto il sud. </w:t>
            </w:r>
            <w:r w:rsidR="003F3A7E">
              <w:t>La seconda è</w:t>
            </w:r>
            <w:r>
              <w:t xml:space="preserve"> </w:t>
            </w:r>
            <w:proofErr w:type="gramStart"/>
            <w:r w:rsidR="008003A3" w:rsidRPr="00FC77DA">
              <w:t>quanto</w:t>
            </w:r>
            <w:proofErr w:type="gramEnd"/>
            <w:r w:rsidR="008003A3" w:rsidRPr="00FC77DA">
              <w:t xml:space="preserve"> questi strumenti </w:t>
            </w:r>
            <w:r w:rsidR="003F3A7E">
              <w:t>di sostegno siano</w:t>
            </w:r>
            <w:r w:rsidR="008003A3" w:rsidRPr="00FC77DA">
              <w:t xml:space="preserve"> stati </w:t>
            </w:r>
            <w:r>
              <w:t>corroboranti</w:t>
            </w:r>
            <w:r w:rsidR="008003A3" w:rsidRPr="00FC77DA">
              <w:t xml:space="preserve"> </w:t>
            </w:r>
            <w:r w:rsidR="00EA2A57">
              <w:t>o se</w:t>
            </w:r>
            <w:r w:rsidR="008003A3" w:rsidRPr="00FC77DA">
              <w:t xml:space="preserve"> invece abbiano solo spostato il problema più in avanti, dando ossigeno a breve termine ad aziende strutturalmente destinate ad uscire dal mercato.</w:t>
            </w:r>
            <w:r w:rsidR="008003A3">
              <w:t xml:space="preserve"> </w:t>
            </w:r>
          </w:p>
          <w:p w:rsidR="00142A89" w:rsidRDefault="002B4E5A" w:rsidP="004E58A2">
            <w:pPr>
              <w:jc w:val="both"/>
            </w:pPr>
            <w:r>
              <w:t>C</w:t>
            </w:r>
            <w:r w:rsidR="00EA2A57">
              <w:t xml:space="preserve">iò che di sicuro possiamo </w:t>
            </w:r>
            <w:r w:rsidR="00A73246">
              <w:t>dire</w:t>
            </w:r>
            <w:r w:rsidR="003F3A7E">
              <w:t xml:space="preserve"> oggi</w:t>
            </w:r>
            <w:r>
              <w:t xml:space="preserve"> è che </w:t>
            </w:r>
            <w:r w:rsidR="00EA2A57" w:rsidRPr="003F3A7E">
              <w:t>l’andamento pugliese</w:t>
            </w:r>
            <w:r w:rsidR="00B05DE7" w:rsidRPr="003F3A7E">
              <w:t xml:space="preserve"> è stat</w:t>
            </w:r>
            <w:r w:rsidR="00EA2A57" w:rsidRPr="003F3A7E">
              <w:t>o</w:t>
            </w:r>
            <w:r w:rsidR="00B05DE7" w:rsidRPr="003F3A7E">
              <w:t xml:space="preserve"> anche un prodotto di due fattori concomitanti,</w:t>
            </w:r>
            <w:r w:rsidR="00B05DE7">
              <w:t xml:space="preserve"> </w:t>
            </w:r>
            <w:proofErr w:type="gramStart"/>
            <w:r w:rsidR="00B05DE7">
              <w:t>ovvero</w:t>
            </w:r>
            <w:proofErr w:type="gramEnd"/>
            <w:r w:rsidR="00B05DE7">
              <w:t xml:space="preserve"> il </w:t>
            </w:r>
            <w:r w:rsidR="00B05DE7" w:rsidRPr="008F75D4">
              <w:rPr>
                <w:b/>
              </w:rPr>
              <w:t>crollo sia delle iscrizioni</w:t>
            </w:r>
            <w:r w:rsidR="00B05DE7">
              <w:t xml:space="preserve"> </w:t>
            </w:r>
            <w:r w:rsidR="004E58A2">
              <w:t>(-</w:t>
            </w:r>
            <w:r w:rsidR="004E58A2" w:rsidRPr="004E58A2">
              <w:t>17,5%</w:t>
            </w:r>
            <w:r w:rsidR="004E58A2">
              <w:t xml:space="preserve"> </w:t>
            </w:r>
            <w:r w:rsidR="00142A89">
              <w:t xml:space="preserve">complessivo </w:t>
            </w:r>
            <w:r w:rsidR="004E58A2">
              <w:t>rispetto al dato 2019)</w:t>
            </w:r>
            <w:r w:rsidR="004E58A2" w:rsidRPr="004E58A2">
              <w:t xml:space="preserve"> </w:t>
            </w:r>
            <w:r w:rsidR="00B05DE7" w:rsidRPr="008F75D4">
              <w:rPr>
                <w:b/>
              </w:rPr>
              <w:t xml:space="preserve">che delle </w:t>
            </w:r>
            <w:r w:rsidR="004E58A2" w:rsidRPr="008F75D4">
              <w:rPr>
                <w:b/>
              </w:rPr>
              <w:t>cessazioni</w:t>
            </w:r>
            <w:r w:rsidR="004E58A2">
              <w:t xml:space="preserve"> (-</w:t>
            </w:r>
            <w:r w:rsidR="004E58A2" w:rsidRPr="004E58A2">
              <w:t>20,4%</w:t>
            </w:r>
            <w:r w:rsidR="004E58A2">
              <w:t xml:space="preserve">). </w:t>
            </w:r>
            <w:r w:rsidR="00142A89">
              <w:t xml:space="preserve">Di seguito la variazione tendenziale trimestre per </w:t>
            </w:r>
            <w:proofErr w:type="gramStart"/>
            <w:r w:rsidR="00142A89">
              <w:t>trimestre</w:t>
            </w:r>
            <w:proofErr w:type="gramEnd"/>
            <w:r w:rsidR="00142A89">
              <w:t>:</w:t>
            </w:r>
          </w:p>
          <w:p w:rsidR="00142A89" w:rsidRDefault="00142A89" w:rsidP="004E58A2">
            <w:pPr>
              <w:jc w:val="both"/>
            </w:pPr>
            <w:r w:rsidRPr="00142A89">
              <w:rPr>
                <w:noProof/>
                <w:lang w:eastAsia="it-IT"/>
              </w:rPr>
              <w:drawing>
                <wp:inline distT="0" distB="0" distL="0" distR="0">
                  <wp:extent cx="4026968" cy="1885444"/>
                  <wp:effectExtent l="0" t="0" r="0" b="0"/>
                  <wp:docPr id="6" name="Gra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8003A3" w:rsidRDefault="007A08BD" w:rsidP="008003A3">
            <w:pPr>
              <w:jc w:val="both"/>
            </w:pPr>
            <w:r>
              <w:t>Q</w:t>
            </w:r>
            <w:r w:rsidR="008003A3">
              <w:t xml:space="preserve">uesto dato indica </w:t>
            </w:r>
            <w:r w:rsidR="008003A3" w:rsidRPr="003F3A7E">
              <w:rPr>
                <w:b/>
              </w:rPr>
              <w:t>una generalizzata</w:t>
            </w:r>
            <w:r w:rsidR="008003A3">
              <w:t xml:space="preserve"> “</w:t>
            </w:r>
            <w:r w:rsidR="008003A3" w:rsidRPr="00DD67DF">
              <w:rPr>
                <w:b/>
              </w:rPr>
              <w:t>attesa degli eventi</w:t>
            </w:r>
            <w:r w:rsidR="008003A3">
              <w:t xml:space="preserve">” da parte delle aziende pugliesi. </w:t>
            </w:r>
            <w:r w:rsidR="00EA2A57">
              <w:t>La</w:t>
            </w:r>
            <w:r w:rsidR="008003A3">
              <w:t xml:space="preserve"> condotta </w:t>
            </w:r>
            <w:r>
              <w:t>più usuale</w:t>
            </w:r>
            <w:r w:rsidR="008003A3">
              <w:t xml:space="preserve"> </w:t>
            </w:r>
            <w:r w:rsidR="00EA2A57">
              <w:t>di fronte a</w:t>
            </w:r>
            <w:r w:rsidR="008003A3">
              <w:t xml:space="preserve">lla crisi </w:t>
            </w:r>
            <w:r w:rsidR="00EA2A57">
              <w:t xml:space="preserve">è stata </w:t>
            </w:r>
            <w:r w:rsidR="00EA2A57" w:rsidRPr="00665905">
              <w:rPr>
                <w:b/>
              </w:rPr>
              <w:t>spegnere</w:t>
            </w:r>
            <w:r w:rsidR="008003A3" w:rsidRPr="00665905">
              <w:rPr>
                <w:b/>
              </w:rPr>
              <w:t xml:space="preserve"> i motori e</w:t>
            </w:r>
            <w:r w:rsidR="008003A3">
              <w:t xml:space="preserve"> </w:t>
            </w:r>
            <w:r>
              <w:rPr>
                <w:b/>
              </w:rPr>
              <w:t>minimizzare</w:t>
            </w:r>
            <w:r w:rsidR="008003A3" w:rsidRPr="00DD67DF">
              <w:rPr>
                <w:b/>
              </w:rPr>
              <w:t xml:space="preserve"> il più possibile la </w:t>
            </w:r>
            <w:proofErr w:type="gramStart"/>
            <w:r w:rsidR="008003A3" w:rsidRPr="00DD67DF">
              <w:rPr>
                <w:b/>
              </w:rPr>
              <w:t>struttura</w:t>
            </w:r>
            <w:proofErr w:type="gramEnd"/>
            <w:r w:rsidR="008003A3" w:rsidRPr="00DD67DF">
              <w:rPr>
                <w:b/>
              </w:rPr>
              <w:t xml:space="preserve"> dei propri costi fissi</w:t>
            </w:r>
            <w:r w:rsidR="008003A3" w:rsidRPr="007A08BD">
              <w:t>, verosimilmente facendo ricorso agli ammortizzatori sociali nella gestione dei dipendenti.</w:t>
            </w:r>
            <w:r w:rsidR="008003A3">
              <w:t xml:space="preserve"> Quello del lavoro è quindi un versante </w:t>
            </w:r>
            <w:proofErr w:type="gramStart"/>
            <w:r w:rsidR="00665905">
              <w:t>estremamente</w:t>
            </w:r>
            <w:proofErr w:type="gramEnd"/>
            <w:r w:rsidR="00665905">
              <w:t xml:space="preserve"> </w:t>
            </w:r>
            <w:r w:rsidR="008003A3">
              <w:t>preoccupante, soprattutto alla luce della fine del blocco dei licenziamenti, prevista per aprile 2021, a meno di una proroga.</w:t>
            </w:r>
          </w:p>
          <w:p w:rsidR="00201174" w:rsidRDefault="003F3A7E" w:rsidP="00665905">
            <w:pPr>
              <w:jc w:val="both"/>
            </w:pPr>
            <w:r>
              <w:t>Inoltre occorre tener conto che</w:t>
            </w:r>
            <w:r w:rsidR="00201174">
              <w:t xml:space="preserve"> </w:t>
            </w:r>
            <w:r w:rsidR="00665905">
              <w:rPr>
                <w:b/>
              </w:rPr>
              <w:t>l’impatto del COVID sull’economia regionale</w:t>
            </w:r>
            <w:r w:rsidR="00201174" w:rsidRPr="00DD67DF">
              <w:rPr>
                <w:b/>
              </w:rPr>
              <w:t xml:space="preserve"> sarà prevalentemente di tipo finanziario</w:t>
            </w:r>
            <w:r w:rsidR="00201174">
              <w:t xml:space="preserve"> e quindi saranno soprattutto </w:t>
            </w:r>
            <w:r w:rsidR="00201174" w:rsidRPr="00FC77DA">
              <w:t xml:space="preserve">i parametri di bilancio </w:t>
            </w:r>
            <w:r w:rsidR="00201174">
              <w:t>2020, presentati ad aprile 2021</w:t>
            </w:r>
            <w:r w:rsidR="00665905">
              <w:t xml:space="preserve"> a raccontarci </w:t>
            </w:r>
            <w:r>
              <w:t>meglio</w:t>
            </w:r>
            <w:r w:rsidR="00665905">
              <w:t xml:space="preserve"> la situazione in atto. </w:t>
            </w:r>
            <w:r w:rsidR="007A08BD">
              <w:t>La</w:t>
            </w:r>
            <w:r w:rsidR="00665905">
              <w:t xml:space="preserve"> speranza </w:t>
            </w:r>
            <w:r>
              <w:t xml:space="preserve">è </w:t>
            </w:r>
            <w:r w:rsidR="00665905">
              <w:t xml:space="preserve">che </w:t>
            </w:r>
            <w:r w:rsidR="00201174">
              <w:t>nel frattempo</w:t>
            </w:r>
            <w:r>
              <w:t xml:space="preserve"> sui numeri</w:t>
            </w:r>
            <w:r w:rsidR="00201174">
              <w:t xml:space="preserve"> </w:t>
            </w:r>
            <w:r w:rsidR="00665905">
              <w:t>intervengano</w:t>
            </w:r>
            <w:r w:rsidR="00201174">
              <w:t xml:space="preserve"> </w:t>
            </w:r>
            <w:r w:rsidR="007A08BD">
              <w:t>elementi</w:t>
            </w:r>
            <w:r w:rsidR="00201174">
              <w:t xml:space="preserve"> </w:t>
            </w:r>
            <w:r w:rsidR="00665905">
              <w:t>positivi</w:t>
            </w:r>
            <w:r>
              <w:t xml:space="preserve">, ad esempio i </w:t>
            </w:r>
            <w:r w:rsidR="00665905">
              <w:t>primi effetti</w:t>
            </w:r>
            <w:r w:rsidR="00201174">
              <w:t xml:space="preserve"> della campagna vaccinale</w:t>
            </w:r>
            <w:r w:rsidR="007A08BD">
              <w:t xml:space="preserve"> sugli stili di vita</w:t>
            </w:r>
            <w:r w:rsidR="00201174">
              <w:t xml:space="preserve">, </w:t>
            </w:r>
            <w:r>
              <w:t xml:space="preserve">il </w:t>
            </w:r>
            <w:r w:rsidR="00674313">
              <w:t>supporto</w:t>
            </w:r>
            <w:r w:rsidR="00201174">
              <w:t xml:space="preserve"> finanziario europeo, </w:t>
            </w:r>
            <w:r>
              <w:t xml:space="preserve">il </w:t>
            </w:r>
            <w:r w:rsidR="00201174">
              <w:t xml:space="preserve">possibile rimbalzo positivo dell’economia al ritorno allo status quo ante, </w:t>
            </w:r>
            <w:r w:rsidR="007A08BD">
              <w:t>per citarne alcuni</w:t>
            </w:r>
            <w:r w:rsidR="00201174">
              <w:t>.</w:t>
            </w:r>
          </w:p>
          <w:p w:rsidR="003F3A7E" w:rsidRDefault="00201174" w:rsidP="003F3A7E">
            <w:pPr>
              <w:jc w:val="both"/>
            </w:pPr>
            <w:r>
              <w:t xml:space="preserve">A complicare </w:t>
            </w:r>
            <w:r w:rsidR="003F3A7E">
              <w:t>questo</w:t>
            </w:r>
            <w:r>
              <w:t xml:space="preserve"> quadro</w:t>
            </w:r>
            <w:r w:rsidR="003F3A7E">
              <w:t>,</w:t>
            </w:r>
            <w:r>
              <w:t xml:space="preserve"> già molto sfaccettato</w:t>
            </w:r>
            <w:r w:rsidR="003F3A7E">
              <w:t>,</w:t>
            </w:r>
            <w:r>
              <w:t xml:space="preserve"> c’</w:t>
            </w:r>
            <w:proofErr w:type="gramStart"/>
            <w:r>
              <w:t>è</w:t>
            </w:r>
            <w:r w:rsidRPr="00FC77DA">
              <w:t xml:space="preserve"> </w:t>
            </w:r>
            <w:r>
              <w:t>il fatto che</w:t>
            </w:r>
            <w:proofErr w:type="gramEnd"/>
            <w:r>
              <w:t xml:space="preserve"> </w:t>
            </w:r>
            <w:r w:rsidRPr="00DD67DF">
              <w:rPr>
                <w:b/>
              </w:rPr>
              <w:t>la situazione pandemica</w:t>
            </w:r>
            <w:r w:rsidR="003F3A7E">
              <w:t xml:space="preserve"> </w:t>
            </w:r>
            <w:r w:rsidRPr="00DD67DF">
              <w:rPr>
                <w:b/>
              </w:rPr>
              <w:t xml:space="preserve">non ha </w:t>
            </w:r>
            <w:r>
              <w:rPr>
                <w:b/>
              </w:rPr>
              <w:t>penalizzato</w:t>
            </w:r>
            <w:r w:rsidRPr="00DD67DF">
              <w:rPr>
                <w:b/>
              </w:rPr>
              <w:t xml:space="preserve"> allo stesso modo tutti i settori</w:t>
            </w:r>
            <w:r>
              <w:t xml:space="preserve">, determinando una situazione </w:t>
            </w:r>
            <w:r w:rsidR="003F3A7E">
              <w:t>complicata</w:t>
            </w:r>
            <w:r>
              <w:t xml:space="preserve"> in alcuni comparti</w:t>
            </w:r>
            <w:r w:rsidR="003F3A7E">
              <w:t>, ma anche</w:t>
            </w:r>
            <w:r>
              <w:t xml:space="preserve"> offrendo nuove possibilità di mercato ad altre</w:t>
            </w:r>
            <w:r w:rsidR="007A6D5A">
              <w:t>, come si vedrà di seguito</w:t>
            </w:r>
            <w:r>
              <w:t>.</w:t>
            </w:r>
          </w:p>
          <w:p w:rsidR="003F3A7E" w:rsidRPr="00665905" w:rsidRDefault="003F3A7E" w:rsidP="003F3A7E">
            <w:pPr>
              <w:jc w:val="both"/>
            </w:pPr>
          </w:p>
        </w:tc>
      </w:tr>
      <w:tr w:rsidR="002351C7" w:rsidRPr="00424330" w:rsidTr="00ED0209">
        <w:tblPrEx>
          <w:tblCellMar>
            <w:left w:w="70" w:type="dxa"/>
            <w:right w:w="70" w:type="dxa"/>
          </w:tblCellMar>
        </w:tblPrEx>
        <w:tc>
          <w:tcPr>
            <w:tcW w:w="2155" w:type="dxa"/>
          </w:tcPr>
          <w:p w:rsidR="002351C7" w:rsidRPr="00FC77DA" w:rsidRDefault="002351C7" w:rsidP="00EB42FB">
            <w:pPr>
              <w:rPr>
                <w:rFonts w:ascii="Arial Black" w:hAnsi="Arial Black"/>
                <w:b/>
                <w:color w:val="595959" w:themeColor="text1" w:themeTint="A6"/>
                <w:szCs w:val="24"/>
              </w:rPr>
            </w:pPr>
            <w:proofErr w:type="gramStart"/>
            <w:r w:rsidRPr="00FC77DA">
              <w:rPr>
                <w:rFonts w:ascii="Arial Black" w:hAnsi="Arial Black"/>
                <w:b/>
                <w:color w:val="595959" w:themeColor="text1" w:themeTint="A6"/>
                <w:szCs w:val="24"/>
              </w:rPr>
              <w:lastRenderedPageBreak/>
              <w:t>Cosa è</w:t>
            </w:r>
            <w:proofErr w:type="gramEnd"/>
            <w:r w:rsidRPr="00FC77DA">
              <w:rPr>
                <w:rFonts w:ascii="Arial Black" w:hAnsi="Arial Black"/>
                <w:b/>
                <w:color w:val="595959" w:themeColor="text1" w:themeTint="A6"/>
                <w:szCs w:val="24"/>
              </w:rPr>
              <w:t xml:space="preserve"> avvenuto a </w:t>
            </w:r>
            <w:r w:rsidRPr="00FC77DA">
              <w:rPr>
                <w:rFonts w:ascii="Arial Black" w:hAnsi="Arial Black"/>
                <w:b/>
                <w:color w:val="595959" w:themeColor="text1" w:themeTint="A6"/>
                <w:szCs w:val="24"/>
              </w:rPr>
              <w:lastRenderedPageBreak/>
              <w:t>livello territoriale?</w:t>
            </w:r>
          </w:p>
        </w:tc>
        <w:tc>
          <w:tcPr>
            <w:tcW w:w="7699" w:type="dxa"/>
          </w:tcPr>
          <w:p w:rsidR="002351C7" w:rsidRDefault="002351C7" w:rsidP="002D4016">
            <w:pPr>
              <w:jc w:val="both"/>
            </w:pPr>
            <w:r w:rsidRPr="00FC77DA">
              <w:lastRenderedPageBreak/>
              <w:t>Non tutti i territori hanno reagito allo stesso modo</w:t>
            </w:r>
            <w:r w:rsidR="00BC25B7" w:rsidRPr="00FC77DA">
              <w:t xml:space="preserve"> all’inedita situazione</w:t>
            </w:r>
            <w:r w:rsidR="007A6D5A">
              <w:t xml:space="preserve"> vissuta nel 2020</w:t>
            </w:r>
            <w:r w:rsidRPr="00FC77DA">
              <w:t>. La tabella che segue ne dà un quadro: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66"/>
              <w:gridCol w:w="857"/>
              <w:gridCol w:w="938"/>
              <w:gridCol w:w="1600"/>
              <w:gridCol w:w="1411"/>
            </w:tblGrid>
            <w:tr w:rsidR="0054704D" w:rsidRPr="008F75D4" w:rsidTr="00201174">
              <w:trPr>
                <w:trHeight w:val="10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 w:themeFill="background1" w:themeFillShade="D9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lastRenderedPageBreak/>
                    <w:t>Territorio amministrativo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 w:themeFill="background1" w:themeFillShade="D9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Registrate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 w:themeFill="background1" w:themeFillShade="D9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 xml:space="preserve">Addetti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 w:themeFill="background1" w:themeFillShade="D9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Variazione registrate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 w:themeFill="background1" w:themeFillShade="D9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Variazione addetti</w:t>
                  </w:r>
                </w:p>
              </w:tc>
            </w:tr>
            <w:tr w:rsidR="0054704D" w:rsidRPr="008F75D4" w:rsidTr="008F75D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5F5F5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Territorio non definito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888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1.975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F9C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-51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F9C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-180</w:t>
                  </w:r>
                </w:p>
              </w:tc>
            </w:tr>
            <w:tr w:rsidR="0054704D" w:rsidRPr="008F75D4" w:rsidTr="008F75D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5F5F5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BARI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114.556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381.402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18F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-66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7128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-5.208</w:t>
                  </w:r>
                </w:p>
              </w:tc>
            </w:tr>
            <w:tr w:rsidR="0054704D" w:rsidRPr="008F75D4" w:rsidTr="008F75D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5F5F5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BARLETTA ANDRIA TRANI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36.934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94.044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7128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-191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374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-1.907</w:t>
                  </w:r>
                </w:p>
              </w:tc>
            </w:tr>
            <w:tr w:rsidR="0054704D" w:rsidRPr="008F75D4" w:rsidTr="008F75D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5F5F5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BRINDISI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37.618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174.829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2D289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372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07F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-1.407</w:t>
                  </w:r>
                </w:p>
              </w:tc>
            </w:tr>
            <w:tr w:rsidR="0054704D" w:rsidRPr="008F75D4" w:rsidTr="008F75D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5F5F5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FOGGIA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68.256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153.210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F9C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8F43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-4.003</w:t>
                  </w:r>
                </w:p>
              </w:tc>
            </w:tr>
            <w:tr w:rsidR="0054704D" w:rsidRPr="008F75D4" w:rsidTr="008F75D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5F5F5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LECCE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73.904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186.759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3BE7B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583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AE60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-2.767</w:t>
                  </w:r>
                </w:p>
              </w:tc>
            </w:tr>
            <w:tr w:rsidR="0054704D" w:rsidRPr="008F75D4" w:rsidTr="0020117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5F5F5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TARANTO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50.379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130.237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76C480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519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C8A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-933</w:t>
                  </w:r>
                </w:p>
              </w:tc>
            </w:tr>
            <w:tr w:rsidR="0054704D" w:rsidRPr="008F75D4" w:rsidTr="00201174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Grand total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382.535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1.122.456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382.535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54704D" w:rsidRPr="008F75D4" w:rsidRDefault="0054704D" w:rsidP="0054704D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1.122.456</w:t>
                  </w:r>
                </w:p>
              </w:tc>
            </w:tr>
          </w:tbl>
          <w:p w:rsidR="00FB7520" w:rsidRPr="00FC77DA" w:rsidRDefault="00FB7520" w:rsidP="002D4016">
            <w:pPr>
              <w:jc w:val="both"/>
            </w:pPr>
          </w:p>
          <w:p w:rsidR="0054704D" w:rsidRDefault="002D4016" w:rsidP="002D4016">
            <w:pPr>
              <w:jc w:val="both"/>
            </w:pPr>
            <w:r w:rsidRPr="00FC77DA">
              <w:t>L</w:t>
            </w:r>
            <w:r w:rsidR="0054704D">
              <w:t>e</w:t>
            </w:r>
            <w:r w:rsidR="00103D97" w:rsidRPr="00FC77DA">
              <w:t xml:space="preserve"> provinc</w:t>
            </w:r>
            <w:r w:rsidR="003F3A7E">
              <w:t xml:space="preserve">e di </w:t>
            </w:r>
            <w:r w:rsidR="003F3A7E" w:rsidRPr="00562CCE">
              <w:rPr>
                <w:b/>
              </w:rPr>
              <w:t>Lecce, Taranto e Brindisi</w:t>
            </w:r>
            <w:r w:rsidR="003F3A7E">
              <w:t xml:space="preserve"> e</w:t>
            </w:r>
            <w:r w:rsidR="0054704D">
              <w:t xml:space="preserve"> in misura minore quella di </w:t>
            </w:r>
            <w:proofErr w:type="gramStart"/>
            <w:r w:rsidR="0054704D" w:rsidRPr="00562CCE">
              <w:rPr>
                <w:b/>
              </w:rPr>
              <w:t>Foggia</w:t>
            </w:r>
            <w:r w:rsidR="0054704D">
              <w:t>,</w:t>
            </w:r>
            <w:proofErr w:type="gramEnd"/>
            <w:r w:rsidR="0054704D">
              <w:t xml:space="preserve"> trainano il dato dell’aumento delle imprese rispetto al 31 dicembre 2019. </w:t>
            </w:r>
            <w:proofErr w:type="gramStart"/>
            <w:r w:rsidR="0054704D">
              <w:t>mentre</w:t>
            </w:r>
            <w:proofErr w:type="gramEnd"/>
            <w:r w:rsidR="0054704D">
              <w:t xml:space="preserve"> </w:t>
            </w:r>
            <w:r w:rsidR="0054704D" w:rsidRPr="00562CCE">
              <w:rPr>
                <w:b/>
              </w:rPr>
              <w:t>Bari</w:t>
            </w:r>
            <w:r w:rsidR="0054704D">
              <w:t xml:space="preserve"> e soprattutto la </w:t>
            </w:r>
            <w:r w:rsidR="0054704D" w:rsidRPr="00562CCE">
              <w:rPr>
                <w:b/>
              </w:rPr>
              <w:t>BAT</w:t>
            </w:r>
            <w:r w:rsidR="0054704D">
              <w:t xml:space="preserve"> registrano un calo delle aziende</w:t>
            </w:r>
            <w:r w:rsidR="003F3A7E">
              <w:t xml:space="preserve">, sostanzialmente replicando </w:t>
            </w:r>
            <w:r w:rsidR="00665905">
              <w:t>la dinamica del</w:t>
            </w:r>
            <w:r w:rsidR="003F3A7E">
              <w:t xml:space="preserve"> centro-nord Italia</w:t>
            </w:r>
            <w:r w:rsidR="0054704D">
              <w:t>.</w:t>
            </w:r>
            <w:r w:rsidR="003F3A7E">
              <w:t xml:space="preserve"> </w:t>
            </w:r>
          </w:p>
          <w:p w:rsidR="0054704D" w:rsidRDefault="0054704D" w:rsidP="0054704D">
            <w:pPr>
              <w:jc w:val="both"/>
            </w:pPr>
            <w:r>
              <w:t>Invece</w:t>
            </w:r>
            <w:r w:rsidR="003F3A7E">
              <w:t xml:space="preserve"> </w:t>
            </w:r>
            <w:r>
              <w:t>l’espulsione di forza lavoro</w:t>
            </w:r>
            <w:r w:rsidR="00665905">
              <w:t xml:space="preserve"> </w:t>
            </w:r>
            <w:r>
              <w:t xml:space="preserve">nell’immediato </w:t>
            </w:r>
            <w:r w:rsidR="003F3A7E">
              <w:t xml:space="preserve">si conferma </w:t>
            </w:r>
            <w:r>
              <w:t xml:space="preserve">come il primo fenomeno da registrare in tutta la regione, anche se, come vedremo, non in tutti i settori economici. </w:t>
            </w:r>
            <w:proofErr w:type="gramStart"/>
            <w:r>
              <w:t>L’impatto del calo dei dipendenti appare pressoché proporzionale al numero di aziende presenti in ciascuna provincia</w:t>
            </w:r>
            <w:r w:rsidR="008C5BEF">
              <w:t>, a testimonianza di una</w:t>
            </w:r>
            <w:proofErr w:type="gramEnd"/>
            <w:r w:rsidR="008C5BEF">
              <w:t xml:space="preserve"> certa pervasività </w:t>
            </w:r>
            <w:r w:rsidR="00562CCE">
              <w:t xml:space="preserve">territoriale dei primi effetti </w:t>
            </w:r>
            <w:r w:rsidR="008C5BEF">
              <w:t>della crisi.</w:t>
            </w:r>
          </w:p>
          <w:p w:rsidR="008003A3" w:rsidRPr="0054704D" w:rsidRDefault="008003A3" w:rsidP="0054704D">
            <w:pPr>
              <w:jc w:val="both"/>
            </w:pPr>
          </w:p>
        </w:tc>
      </w:tr>
      <w:tr w:rsidR="002351C7" w:rsidRPr="00424330" w:rsidTr="00ED0209">
        <w:tblPrEx>
          <w:tblCellMar>
            <w:left w:w="70" w:type="dxa"/>
            <w:right w:w="70" w:type="dxa"/>
          </w:tblCellMar>
        </w:tblPrEx>
        <w:tc>
          <w:tcPr>
            <w:tcW w:w="2155" w:type="dxa"/>
          </w:tcPr>
          <w:p w:rsidR="002351C7" w:rsidRPr="00FC77DA" w:rsidRDefault="00103D97" w:rsidP="00EB42FB">
            <w:pPr>
              <w:rPr>
                <w:rFonts w:ascii="Arial Black" w:hAnsi="Arial Black"/>
                <w:b/>
                <w:color w:val="595959" w:themeColor="text1" w:themeTint="A6"/>
                <w:szCs w:val="24"/>
              </w:rPr>
            </w:pPr>
            <w:r w:rsidRPr="00FC77DA">
              <w:rPr>
                <w:rFonts w:ascii="Arial Black" w:hAnsi="Arial Black"/>
                <w:b/>
                <w:color w:val="595959" w:themeColor="text1" w:themeTint="A6"/>
                <w:szCs w:val="24"/>
              </w:rPr>
              <w:lastRenderedPageBreak/>
              <w:t>Vi sono differenze fra piccola e grande impresa?</w:t>
            </w:r>
          </w:p>
        </w:tc>
        <w:tc>
          <w:tcPr>
            <w:tcW w:w="7699" w:type="dxa"/>
          </w:tcPr>
          <w:p w:rsidR="001B1BF2" w:rsidRDefault="00606304" w:rsidP="001B1BF2">
            <w:pPr>
              <w:jc w:val="both"/>
            </w:pPr>
            <w:r w:rsidRPr="00FC77DA">
              <w:t>Quanto la dimensione aziendale ha influito sulla capacità di reazione alla crisi</w:t>
            </w:r>
            <w:r w:rsidR="00103D97" w:rsidRPr="00FC77DA">
              <w:t xml:space="preserve">? </w:t>
            </w:r>
            <w:r w:rsidR="001B1BF2" w:rsidRPr="00FC77DA">
              <w:t xml:space="preserve">La sensazione </w:t>
            </w:r>
            <w:proofErr w:type="gramStart"/>
            <w:r w:rsidR="00FF41C0">
              <w:t>di fondo</w:t>
            </w:r>
            <w:proofErr w:type="gramEnd"/>
            <w:r w:rsidR="00FF41C0">
              <w:t xml:space="preserve"> </w:t>
            </w:r>
            <w:r w:rsidR="001B1BF2" w:rsidRPr="00FC77DA">
              <w:t xml:space="preserve">è che più si è strutturati, più si resiste. Lo </w:t>
            </w:r>
            <w:r w:rsidR="001B1BF2">
              <w:t xml:space="preserve">dimostra </w:t>
            </w:r>
            <w:r w:rsidR="001B1BF2" w:rsidRPr="00FC77DA">
              <w:t xml:space="preserve">la </w:t>
            </w:r>
            <w:r w:rsidR="001B1BF2" w:rsidRPr="00FC77DA">
              <w:rPr>
                <w:b/>
              </w:rPr>
              <w:t>variazione delle aziende registrate per forma giuridica</w:t>
            </w:r>
            <w:r w:rsidR="001B1BF2" w:rsidRPr="00FC77DA">
              <w:t xml:space="preserve">, che vede </w:t>
            </w:r>
            <w:r w:rsidR="001B1BF2">
              <w:t>nel 2020</w:t>
            </w:r>
            <w:r w:rsidR="001B1BF2" w:rsidRPr="00FC77DA">
              <w:t xml:space="preserve"> un </w:t>
            </w:r>
            <w:r w:rsidR="001B1BF2" w:rsidRPr="00FC77DA">
              <w:rPr>
                <w:b/>
              </w:rPr>
              <w:t>vorticoso aumento delle società di capitale</w:t>
            </w:r>
            <w:r w:rsidR="001B1BF2" w:rsidRPr="00FC77DA">
              <w:t xml:space="preserve">, un crollo </w:t>
            </w:r>
            <w:r w:rsidR="001B1BF2" w:rsidRPr="00FC77DA">
              <w:rPr>
                <w:b/>
              </w:rPr>
              <w:t>delle imprese individuali</w:t>
            </w:r>
            <w:r w:rsidR="001B1BF2" w:rsidRPr="00FC77DA">
              <w:t xml:space="preserve"> e un </w:t>
            </w:r>
            <w:r w:rsidR="001B1BF2" w:rsidRPr="00FC77DA">
              <w:rPr>
                <w:b/>
              </w:rPr>
              <w:t>calo non lieve anche delle società di persone</w:t>
            </w:r>
            <w:r w:rsidR="001B1BF2">
              <w:t xml:space="preserve">. </w:t>
            </w:r>
            <w:proofErr w:type="gramStart"/>
            <w:r w:rsidR="001B1BF2">
              <w:t>Ma</w:t>
            </w:r>
            <w:proofErr w:type="gramEnd"/>
            <w:r w:rsidR="001B1BF2">
              <w:t xml:space="preserve"> ciò che è più importante è che le medesime dinamiche si ripresentano a livello di variazione dei dipendenti, con le società di capitali che vedono addirittura una </w:t>
            </w:r>
            <w:r w:rsidR="00665905">
              <w:t xml:space="preserve">netta </w:t>
            </w:r>
            <w:r w:rsidR="001B1BF2">
              <w:t>crescita, mentre le altre calano:</w:t>
            </w:r>
          </w:p>
          <w:p w:rsidR="007A6D5A" w:rsidRPr="00FC77DA" w:rsidRDefault="007A6D5A" w:rsidP="001B1BF2">
            <w:pPr>
              <w:jc w:val="both"/>
            </w:pPr>
          </w:p>
          <w:tbl>
            <w:tblPr>
              <w:tblW w:w="10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73"/>
              <w:gridCol w:w="2046"/>
              <w:gridCol w:w="1194"/>
              <w:gridCol w:w="1202"/>
              <w:gridCol w:w="817"/>
              <w:gridCol w:w="817"/>
            </w:tblGrid>
            <w:tr w:rsidR="001B1BF2" w:rsidRPr="00146691" w:rsidTr="00201174">
              <w:trPr>
                <w:trHeight w:val="1275"/>
              </w:trPr>
              <w:tc>
                <w:tcPr>
                  <w:tcW w:w="197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hideMark/>
                </w:tcPr>
                <w:p w:rsidR="001B1BF2" w:rsidRPr="008F75D4" w:rsidRDefault="001B1BF2" w:rsidP="00C81873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Regione</w:t>
                  </w:r>
                </w:p>
              </w:tc>
              <w:tc>
                <w:tcPr>
                  <w:tcW w:w="2760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hideMark/>
                </w:tcPr>
                <w:p w:rsidR="001B1BF2" w:rsidRPr="008F75D4" w:rsidRDefault="001B1BF2" w:rsidP="00C81873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Classe di Natura Giuridica</w:t>
                  </w:r>
                </w:p>
              </w:tc>
              <w:tc>
                <w:tcPr>
                  <w:tcW w:w="1589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hideMark/>
                </w:tcPr>
                <w:p w:rsidR="001B1BF2" w:rsidRPr="008F75D4" w:rsidRDefault="001B1BF2" w:rsidP="00C8187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Registrate</w:t>
                  </w:r>
                </w:p>
              </w:tc>
              <w:tc>
                <w:tcPr>
                  <w:tcW w:w="1599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hideMark/>
                </w:tcPr>
                <w:p w:rsidR="001B1BF2" w:rsidRPr="008F75D4" w:rsidRDefault="001B1BF2" w:rsidP="00C8187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Addetti tot.</w:t>
                  </w:r>
                </w:p>
              </w:tc>
              <w:tc>
                <w:tcPr>
                  <w:tcW w:w="1071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hideMark/>
                </w:tcPr>
                <w:p w:rsidR="001B1BF2" w:rsidRPr="008F75D4" w:rsidRDefault="001B1BF2" w:rsidP="00C8187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Variazione registrate 2020 vs 2019</w:t>
                  </w:r>
                </w:p>
              </w:tc>
              <w:tc>
                <w:tcPr>
                  <w:tcW w:w="1071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hideMark/>
                </w:tcPr>
                <w:p w:rsidR="001B1BF2" w:rsidRPr="008F75D4" w:rsidRDefault="001B1BF2" w:rsidP="00C8187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proofErr w:type="gramStart"/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Variazione addetti</w:t>
                  </w:r>
                  <w:proofErr w:type="gramEnd"/>
                  <w:r w:rsidRPr="008F75D4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 xml:space="preserve"> 2020 vs 2019</w:t>
                  </w:r>
                </w:p>
              </w:tc>
            </w:tr>
            <w:tr w:rsidR="001B1BF2" w:rsidRPr="00146691" w:rsidTr="00C81873">
              <w:trPr>
                <w:trHeight w:val="255"/>
              </w:trPr>
              <w:tc>
                <w:tcPr>
                  <w:tcW w:w="1970" w:type="dxa"/>
                  <w:vMerge w:val="restart"/>
                  <w:tcBorders>
                    <w:top w:val="nil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PUGLIA</w:t>
                  </w:r>
                  <w:proofErr w:type="gramStart"/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 xml:space="preserve">               </w:t>
                  </w:r>
                  <w:proofErr w:type="gramEnd"/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SOCIETA' DI CAPITALE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98.513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FFFFFF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488.776</w:t>
                  </w:r>
                </w:p>
              </w:tc>
              <w:tc>
                <w:tcPr>
                  <w:tcW w:w="1071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97CD7E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3.183</w:t>
                  </w:r>
                </w:p>
              </w:tc>
              <w:tc>
                <w:tcPr>
                  <w:tcW w:w="1071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63BE7B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5.260</w:t>
                  </w:r>
                </w:p>
              </w:tc>
            </w:tr>
            <w:tr w:rsidR="001B1BF2" w:rsidRPr="00146691" w:rsidTr="00C81873">
              <w:trPr>
                <w:trHeight w:val="255"/>
              </w:trPr>
              <w:tc>
                <w:tcPr>
                  <w:tcW w:w="1970" w:type="dxa"/>
                  <w:vMerge/>
                  <w:tcBorders>
                    <w:top w:val="nil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SOCIETA' DI PERSONE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33.962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FFFFFF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97.878</w:t>
                  </w:r>
                </w:p>
              </w:tc>
              <w:tc>
                <w:tcPr>
                  <w:tcW w:w="1071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DEB84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-909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FCB479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-4.768</w:t>
                  </w:r>
                </w:p>
              </w:tc>
            </w:tr>
            <w:tr w:rsidR="001B1BF2" w:rsidRPr="00146691" w:rsidTr="00C81873">
              <w:trPr>
                <w:trHeight w:val="255"/>
              </w:trPr>
              <w:tc>
                <w:tcPr>
                  <w:tcW w:w="1970" w:type="dxa"/>
                  <w:vMerge/>
                  <w:tcBorders>
                    <w:top w:val="nil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IMPRESE INDIVIDUALI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232.834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FFFFFF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337.382</w:t>
                  </w:r>
                </w:p>
              </w:tc>
              <w:tc>
                <w:tcPr>
                  <w:tcW w:w="1071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EE983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-1.117</w:t>
                  </w:r>
                </w:p>
              </w:tc>
              <w:tc>
                <w:tcPr>
                  <w:tcW w:w="1071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F8696B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-10.039</w:t>
                  </w:r>
                </w:p>
              </w:tc>
            </w:tr>
            <w:tr w:rsidR="001B1BF2" w:rsidRPr="00146691" w:rsidTr="00C81873">
              <w:trPr>
                <w:trHeight w:val="255"/>
              </w:trPr>
              <w:tc>
                <w:tcPr>
                  <w:tcW w:w="1970" w:type="dxa"/>
                  <w:vMerge/>
                  <w:tcBorders>
                    <w:top w:val="nil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F5F5F5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ALTRE FORME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17.226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FFFFFF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198.420</w:t>
                  </w:r>
                </w:p>
              </w:tc>
              <w:tc>
                <w:tcPr>
                  <w:tcW w:w="1071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E5E483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65</w:t>
                  </w:r>
                </w:p>
              </w:tc>
              <w:tc>
                <w:tcPr>
                  <w:tcW w:w="1071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FA9673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-6.858</w:t>
                  </w:r>
                </w:p>
              </w:tc>
            </w:tr>
            <w:tr w:rsidR="001B1BF2" w:rsidRPr="00146691" w:rsidTr="00201174">
              <w:trPr>
                <w:trHeight w:val="255"/>
              </w:trPr>
              <w:tc>
                <w:tcPr>
                  <w:tcW w:w="4730" w:type="dxa"/>
                  <w:gridSpan w:val="2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000000" w:fill="D9D9D9" w:themeFill="background1" w:themeFillShade="D9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Grand Total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D9D9D9" w:themeFill="background1" w:themeFillShade="D9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382.535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D9D9D9" w:themeFill="background1" w:themeFillShade="D9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1.122.456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D9D9D9" w:themeFill="background1" w:themeFillShade="D9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1.222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D9D9D9" w:themeFill="background1" w:themeFillShade="D9"/>
                  <w:noWrap/>
                  <w:vAlign w:val="center"/>
                  <w:hideMark/>
                </w:tcPr>
                <w:p w:rsidR="001B1BF2" w:rsidRPr="00146691" w:rsidRDefault="001B1BF2" w:rsidP="00C8187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146691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-16.405</w:t>
                  </w:r>
                </w:p>
              </w:tc>
            </w:tr>
          </w:tbl>
          <w:p w:rsidR="001B1BF2" w:rsidRDefault="001B1BF2" w:rsidP="00EB7EDB">
            <w:pPr>
              <w:jc w:val="both"/>
            </w:pPr>
          </w:p>
          <w:p w:rsidR="002351C7" w:rsidRDefault="00C81873" w:rsidP="00FF41C0">
            <w:pPr>
              <w:jc w:val="both"/>
              <w:rPr>
                <w:sz w:val="24"/>
              </w:rPr>
            </w:pPr>
            <w:r>
              <w:t>Scendendo nel dettaglio</w:t>
            </w:r>
            <w:r w:rsidRPr="00FC77DA">
              <w:t xml:space="preserve">, abbiamo </w:t>
            </w:r>
            <w:r>
              <w:t>analizzato anche</w:t>
            </w:r>
            <w:r w:rsidRPr="00FC77DA">
              <w:t xml:space="preserve"> le </w:t>
            </w:r>
            <w:r w:rsidRPr="00FF41C0">
              <w:t>variazioni del n</w:t>
            </w:r>
            <w:r w:rsidR="007A6D5A">
              <w:t xml:space="preserve">umero </w:t>
            </w:r>
            <w:proofErr w:type="gramStart"/>
            <w:r w:rsidR="007A6D5A">
              <w:t xml:space="preserve">di </w:t>
            </w:r>
            <w:proofErr w:type="gramEnd"/>
            <w:r w:rsidR="007A6D5A">
              <w:t>imprese fa 2019 e 2020 con una analisi di cluster</w:t>
            </w:r>
            <w:r w:rsidR="00EA1B60">
              <w:t>,</w:t>
            </w:r>
            <w:r w:rsidR="007A6D5A">
              <w:t xml:space="preserve"> condotta</w:t>
            </w:r>
            <w:r w:rsidRPr="00FF41C0">
              <w:t xml:space="preserve"> ponendo sull’ascissa le </w:t>
            </w:r>
            <w:r w:rsidRPr="00FF41C0">
              <w:lastRenderedPageBreak/>
              <w:t xml:space="preserve">classi di fatturato e sull’ordinata quelle degli addetti. </w:t>
            </w:r>
            <w:r w:rsidR="00665905">
              <w:t>I</w:t>
            </w:r>
            <w:r w:rsidRPr="00FC77DA">
              <w:t xml:space="preserve">n rosso </w:t>
            </w:r>
            <w:r w:rsidR="007A6D5A">
              <w:t xml:space="preserve">sono segnate </w:t>
            </w:r>
            <w:r w:rsidRPr="00FC77DA">
              <w:t>le variazioni peg</w:t>
            </w:r>
            <w:r>
              <w:t>giori, in verde quelle migliori. Il risultato è il seguente:</w:t>
            </w:r>
            <w:r w:rsidR="00103D97" w:rsidRPr="00FC77DA">
              <w:rPr>
                <w:sz w:val="24"/>
              </w:rPr>
              <w:t xml:space="preserve"> </w:t>
            </w:r>
          </w:p>
          <w:p w:rsidR="007A6D5A" w:rsidRPr="00FC77DA" w:rsidRDefault="007A6D5A" w:rsidP="00FF41C0">
            <w:pPr>
              <w:jc w:val="both"/>
              <w:rPr>
                <w:sz w:val="24"/>
              </w:rPr>
            </w:pPr>
          </w:p>
        </w:tc>
      </w:tr>
      <w:tr w:rsidR="00606304" w:rsidRPr="00424330" w:rsidTr="00C81873">
        <w:tblPrEx>
          <w:tblCellMar>
            <w:left w:w="70" w:type="dxa"/>
            <w:right w:w="70" w:type="dxa"/>
          </w:tblCellMar>
        </w:tblPrEx>
        <w:tc>
          <w:tcPr>
            <w:tcW w:w="9854" w:type="dxa"/>
            <w:gridSpan w:val="2"/>
          </w:tcPr>
          <w:tbl>
            <w:tblPr>
              <w:tblW w:w="10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1350"/>
              <w:gridCol w:w="763"/>
              <w:gridCol w:w="722"/>
              <w:gridCol w:w="722"/>
              <w:gridCol w:w="721"/>
              <w:gridCol w:w="721"/>
              <w:gridCol w:w="720"/>
              <w:gridCol w:w="720"/>
              <w:gridCol w:w="720"/>
              <w:gridCol w:w="719"/>
              <w:gridCol w:w="720"/>
              <w:gridCol w:w="724"/>
            </w:tblGrid>
            <w:tr w:rsidR="00B96143" w:rsidRPr="00B96143" w:rsidTr="00201174">
              <w:trPr>
                <w:trHeight w:val="255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it-IT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it-IT"/>
                    </w:rPr>
                  </w:pPr>
                </w:p>
              </w:tc>
              <w:tc>
                <w:tcPr>
                  <w:tcW w:w="8358" w:type="dxa"/>
                  <w:gridSpan w:val="11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000000" w:fill="D9D9D9" w:themeFill="background1" w:themeFillShade="D9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Valore Produzione</w:t>
                  </w:r>
                </w:p>
              </w:tc>
            </w:tr>
            <w:tr w:rsidR="00EB7EDB" w:rsidRPr="00EB7EDB" w:rsidTr="00201174">
              <w:trPr>
                <w:trHeight w:val="765"/>
              </w:trPr>
              <w:tc>
                <w:tcPr>
                  <w:tcW w:w="1822" w:type="dxa"/>
                  <w:gridSpan w:val="2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0"/>
                      <w:lang w:eastAsia="it-IT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000000" w:fill="D8D8D8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 xml:space="preserve">Val. </w:t>
                  </w:r>
                  <w:proofErr w:type="gramStart"/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prod.</w:t>
                  </w:r>
                  <w:proofErr w:type="gramEnd"/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 xml:space="preserve"> assente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D9D9D9" w:themeFill="background1" w:themeFillShade="D9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fino a 250 m E.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D9D9D9" w:themeFill="background1" w:themeFillShade="D9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250 - 500 m E.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D9D9D9" w:themeFill="background1" w:themeFillShade="D9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500 m - 1 ml E.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D9D9D9" w:themeFill="background1" w:themeFillShade="D9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1 - 2,5 ml E.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D9D9D9" w:themeFill="background1" w:themeFillShade="D9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2,5 - 5 ml E.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D9D9D9" w:themeFill="background1" w:themeFillShade="D9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5 - 10 ml E.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D9D9D9" w:themeFill="background1" w:themeFillShade="D9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10 - 25 ml E.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D9D9D9" w:themeFill="background1" w:themeFillShade="D9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25 - 50 ml E.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D9D9D9" w:themeFill="background1" w:themeFillShade="D9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proofErr w:type="gramStart"/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più</w:t>
                  </w:r>
                  <w:proofErr w:type="gramEnd"/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 xml:space="preserve"> di 50 ml E.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D9D9D9" w:themeFill="background1" w:themeFillShade="D9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Grand Total</w:t>
                  </w:r>
                </w:p>
              </w:tc>
            </w:tr>
            <w:tr w:rsidR="00EB7EDB" w:rsidRPr="00EB7EDB" w:rsidTr="00201174">
              <w:trPr>
                <w:trHeight w:val="255"/>
              </w:trPr>
              <w:tc>
                <w:tcPr>
                  <w:tcW w:w="401" w:type="dxa"/>
                  <w:vMerge w:val="restar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textDirection w:val="btLr"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Addetti</w:t>
                  </w:r>
                </w:p>
              </w:tc>
              <w:tc>
                <w:tcPr>
                  <w:tcW w:w="1421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131</w:t>
                  </w:r>
                </w:p>
              </w:tc>
              <w:tc>
                <w:tcPr>
                  <w:tcW w:w="757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282</w:t>
                  </w:r>
                </w:p>
              </w:tc>
              <w:tc>
                <w:tcPr>
                  <w:tcW w:w="757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93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756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14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-1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-10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-3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-1</w:t>
                  </w:r>
                </w:p>
              </w:tc>
              <w:tc>
                <w:tcPr>
                  <w:tcW w:w="759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DBE182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517</w:t>
                  </w:r>
                </w:p>
              </w:tc>
            </w:tr>
            <w:tr w:rsidR="00EB7EDB" w:rsidRPr="00EB7EDB" w:rsidTr="00201174">
              <w:trPr>
                <w:trHeight w:val="255"/>
              </w:trPr>
              <w:tc>
                <w:tcPr>
                  <w:tcW w:w="401" w:type="dxa"/>
                  <w:vMerge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799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1.778</w:t>
                  </w:r>
                </w:p>
              </w:tc>
              <w:tc>
                <w:tcPr>
                  <w:tcW w:w="757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532</w:t>
                  </w:r>
                </w:p>
              </w:tc>
              <w:tc>
                <w:tcPr>
                  <w:tcW w:w="757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-36</w:t>
                  </w:r>
                </w:p>
              </w:tc>
              <w:tc>
                <w:tcPr>
                  <w:tcW w:w="756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17</w:t>
                  </w:r>
                </w:p>
              </w:tc>
              <w:tc>
                <w:tcPr>
                  <w:tcW w:w="756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20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-7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0</w:t>
                  </w:r>
                </w:p>
              </w:tc>
              <w:tc>
                <w:tcPr>
                  <w:tcW w:w="759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63BE7B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2.317</w:t>
                  </w:r>
                </w:p>
              </w:tc>
            </w:tr>
            <w:tr w:rsidR="00EB7EDB" w:rsidRPr="00EB7EDB" w:rsidTr="00201174">
              <w:trPr>
                <w:trHeight w:val="255"/>
              </w:trPr>
              <w:tc>
                <w:tcPr>
                  <w:tcW w:w="401" w:type="dxa"/>
                  <w:vMerge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proofErr w:type="gramStart"/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da</w:t>
                  </w:r>
                  <w:proofErr w:type="gramEnd"/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 xml:space="preserve"> 2 a 5</w:t>
                  </w:r>
                </w:p>
              </w:tc>
              <w:tc>
                <w:tcPr>
                  <w:tcW w:w="799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-1.539</w:t>
                  </w:r>
                </w:p>
              </w:tc>
              <w:tc>
                <w:tcPr>
                  <w:tcW w:w="757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321</w:t>
                  </w:r>
                </w:p>
              </w:tc>
              <w:tc>
                <w:tcPr>
                  <w:tcW w:w="757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274</w:t>
                  </w:r>
                </w:p>
              </w:tc>
              <w:tc>
                <w:tcPr>
                  <w:tcW w:w="756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115</w:t>
                  </w:r>
                </w:p>
              </w:tc>
              <w:tc>
                <w:tcPr>
                  <w:tcW w:w="756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53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754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0</w:t>
                  </w:r>
                </w:p>
              </w:tc>
              <w:tc>
                <w:tcPr>
                  <w:tcW w:w="759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F8696B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-775</w:t>
                  </w:r>
                </w:p>
              </w:tc>
            </w:tr>
            <w:tr w:rsidR="00EB7EDB" w:rsidRPr="00EB7EDB" w:rsidTr="00201174">
              <w:trPr>
                <w:trHeight w:val="255"/>
              </w:trPr>
              <w:tc>
                <w:tcPr>
                  <w:tcW w:w="401" w:type="dxa"/>
                  <w:vMerge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proofErr w:type="gramStart"/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da</w:t>
                  </w:r>
                  <w:proofErr w:type="gramEnd"/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 xml:space="preserve"> 6 a 9</w:t>
                  </w:r>
                </w:p>
              </w:tc>
              <w:tc>
                <w:tcPr>
                  <w:tcW w:w="799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-485</w:t>
                  </w:r>
                </w:p>
              </w:tc>
              <w:tc>
                <w:tcPr>
                  <w:tcW w:w="757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-58</w:t>
                  </w:r>
                </w:p>
              </w:tc>
              <w:tc>
                <w:tcPr>
                  <w:tcW w:w="757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119</w:t>
                  </w:r>
                </w:p>
              </w:tc>
              <w:tc>
                <w:tcPr>
                  <w:tcW w:w="756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153</w:t>
                  </w:r>
                </w:p>
              </w:tc>
              <w:tc>
                <w:tcPr>
                  <w:tcW w:w="756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102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-2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0</w:t>
                  </w:r>
                </w:p>
              </w:tc>
              <w:tc>
                <w:tcPr>
                  <w:tcW w:w="759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FDD37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-161</w:t>
                  </w:r>
                </w:p>
              </w:tc>
            </w:tr>
            <w:tr w:rsidR="00EB7EDB" w:rsidRPr="00EB7EDB" w:rsidTr="00201174">
              <w:trPr>
                <w:trHeight w:val="255"/>
              </w:trPr>
              <w:tc>
                <w:tcPr>
                  <w:tcW w:w="401" w:type="dxa"/>
                  <w:vMerge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proofErr w:type="gramStart"/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da</w:t>
                  </w:r>
                  <w:proofErr w:type="gramEnd"/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 xml:space="preserve"> 10 a 19</w:t>
                  </w:r>
                </w:p>
              </w:tc>
              <w:tc>
                <w:tcPr>
                  <w:tcW w:w="799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-342</w:t>
                  </w:r>
                </w:p>
              </w:tc>
              <w:tc>
                <w:tcPr>
                  <w:tcW w:w="757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-109</w:t>
                  </w:r>
                </w:p>
              </w:tc>
              <w:tc>
                <w:tcPr>
                  <w:tcW w:w="757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-102</w:t>
                  </w:r>
                </w:p>
              </w:tc>
              <w:tc>
                <w:tcPr>
                  <w:tcW w:w="756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-20</w:t>
                  </w:r>
                </w:p>
              </w:tc>
              <w:tc>
                <w:tcPr>
                  <w:tcW w:w="756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85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-4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11</w:t>
                  </w:r>
                </w:p>
              </w:tc>
              <w:tc>
                <w:tcPr>
                  <w:tcW w:w="754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759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FBA676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-419</w:t>
                  </w:r>
                </w:p>
              </w:tc>
            </w:tr>
            <w:tr w:rsidR="00EB7EDB" w:rsidRPr="00EB7EDB" w:rsidTr="00201174">
              <w:trPr>
                <w:trHeight w:val="255"/>
              </w:trPr>
              <w:tc>
                <w:tcPr>
                  <w:tcW w:w="401" w:type="dxa"/>
                  <w:vMerge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proofErr w:type="gramStart"/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da</w:t>
                  </w:r>
                  <w:proofErr w:type="gramEnd"/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 xml:space="preserve"> 20 a 49</w:t>
                  </w:r>
                </w:p>
              </w:tc>
              <w:tc>
                <w:tcPr>
                  <w:tcW w:w="799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-106</w:t>
                  </w:r>
                </w:p>
              </w:tc>
              <w:tc>
                <w:tcPr>
                  <w:tcW w:w="757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-35</w:t>
                  </w:r>
                </w:p>
              </w:tc>
              <w:tc>
                <w:tcPr>
                  <w:tcW w:w="757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-32</w:t>
                  </w:r>
                </w:p>
              </w:tc>
              <w:tc>
                <w:tcPr>
                  <w:tcW w:w="756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-28</w:t>
                  </w:r>
                </w:p>
              </w:tc>
              <w:tc>
                <w:tcPr>
                  <w:tcW w:w="756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-62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26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23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-4</w:t>
                  </w:r>
                </w:p>
              </w:tc>
              <w:tc>
                <w:tcPr>
                  <w:tcW w:w="759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FDCB7D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-209</w:t>
                  </w:r>
                </w:p>
              </w:tc>
            </w:tr>
            <w:tr w:rsidR="00EB7EDB" w:rsidRPr="00EB7EDB" w:rsidTr="00201174">
              <w:trPr>
                <w:trHeight w:val="255"/>
              </w:trPr>
              <w:tc>
                <w:tcPr>
                  <w:tcW w:w="401" w:type="dxa"/>
                  <w:vMerge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proofErr w:type="gramStart"/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da</w:t>
                  </w:r>
                  <w:proofErr w:type="gramEnd"/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 xml:space="preserve"> 50 a 99</w:t>
                  </w:r>
                </w:p>
              </w:tc>
              <w:tc>
                <w:tcPr>
                  <w:tcW w:w="799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-10</w:t>
                  </w:r>
                </w:p>
              </w:tc>
              <w:tc>
                <w:tcPr>
                  <w:tcW w:w="757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-2</w:t>
                  </w:r>
                </w:p>
              </w:tc>
              <w:tc>
                <w:tcPr>
                  <w:tcW w:w="757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-10</w:t>
                  </w:r>
                </w:p>
              </w:tc>
              <w:tc>
                <w:tcPr>
                  <w:tcW w:w="756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-7</w:t>
                  </w:r>
                </w:p>
              </w:tc>
              <w:tc>
                <w:tcPr>
                  <w:tcW w:w="756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-9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-23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11</w:t>
                  </w:r>
                </w:p>
              </w:tc>
              <w:tc>
                <w:tcPr>
                  <w:tcW w:w="754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759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FEE983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-37</w:t>
                  </w:r>
                </w:p>
              </w:tc>
            </w:tr>
            <w:tr w:rsidR="00EB7EDB" w:rsidRPr="00EB7EDB" w:rsidTr="00201174">
              <w:trPr>
                <w:trHeight w:val="255"/>
              </w:trPr>
              <w:tc>
                <w:tcPr>
                  <w:tcW w:w="401" w:type="dxa"/>
                  <w:vMerge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proofErr w:type="gramStart"/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da</w:t>
                  </w:r>
                  <w:proofErr w:type="gramEnd"/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 xml:space="preserve"> 100 a 249</w:t>
                  </w:r>
                </w:p>
              </w:tc>
              <w:tc>
                <w:tcPr>
                  <w:tcW w:w="799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-8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-7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754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-3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759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FFEB84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-16</w:t>
                  </w:r>
                </w:p>
              </w:tc>
            </w:tr>
            <w:tr w:rsidR="00EB7EDB" w:rsidRPr="00EB7EDB" w:rsidTr="00201174">
              <w:trPr>
                <w:trHeight w:val="255"/>
              </w:trPr>
              <w:tc>
                <w:tcPr>
                  <w:tcW w:w="401" w:type="dxa"/>
                  <w:vMerge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proofErr w:type="gramStart"/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da</w:t>
                  </w:r>
                  <w:proofErr w:type="gramEnd"/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 xml:space="preserve"> 250 a 499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-1</w:t>
                  </w:r>
                </w:p>
              </w:tc>
              <w:tc>
                <w:tcPr>
                  <w:tcW w:w="754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-2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C6EF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006100"/>
                      <w:sz w:val="14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759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FDEB84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8</w:t>
                  </w:r>
                </w:p>
              </w:tc>
            </w:tr>
            <w:tr w:rsidR="00EB7EDB" w:rsidRPr="00EB7EDB" w:rsidTr="00201174">
              <w:trPr>
                <w:trHeight w:val="255"/>
              </w:trPr>
              <w:tc>
                <w:tcPr>
                  <w:tcW w:w="401" w:type="dxa"/>
                  <w:vMerge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proofErr w:type="gramStart"/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più</w:t>
                  </w:r>
                  <w:proofErr w:type="gramEnd"/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 xml:space="preserve"> di 500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-1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FC7CE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color w:val="9C0006"/>
                      <w:sz w:val="14"/>
                      <w:szCs w:val="20"/>
                      <w:lang w:eastAsia="it-IT"/>
                    </w:rPr>
                    <w:t>-2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sz w:val="14"/>
                      <w:szCs w:val="20"/>
                      <w:lang w:eastAsia="it-IT"/>
                    </w:rPr>
                    <w:t>-1</w:t>
                  </w:r>
                </w:p>
              </w:tc>
              <w:tc>
                <w:tcPr>
                  <w:tcW w:w="759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FEEB84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-3</w:t>
                  </w:r>
                </w:p>
              </w:tc>
            </w:tr>
            <w:tr w:rsidR="00EB7EDB" w:rsidRPr="00EB7EDB" w:rsidTr="00201174">
              <w:trPr>
                <w:trHeight w:val="255"/>
              </w:trPr>
              <w:tc>
                <w:tcPr>
                  <w:tcW w:w="1822" w:type="dxa"/>
                  <w:gridSpan w:val="2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D9D9D9" w:themeFill="background1" w:themeFillShade="D9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Grand Total</w:t>
                  </w:r>
                </w:p>
              </w:tc>
              <w:tc>
                <w:tcPr>
                  <w:tcW w:w="7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nil"/>
                  </w:tcBorders>
                  <w:shd w:val="clear" w:color="000000" w:fill="F8696B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-575</w:t>
                  </w:r>
                </w:p>
              </w:tc>
              <w:tc>
                <w:tcPr>
                  <w:tcW w:w="757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63BE7B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931</w:t>
                  </w:r>
                </w:p>
              </w:tc>
              <w:tc>
                <w:tcPr>
                  <w:tcW w:w="757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D3DF82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306</w:t>
                  </w:r>
                </w:p>
              </w:tc>
              <w:tc>
                <w:tcPr>
                  <w:tcW w:w="756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E1E383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228</w:t>
                  </w:r>
                </w:p>
              </w:tc>
              <w:tc>
                <w:tcPr>
                  <w:tcW w:w="756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E5E483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203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DEB84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67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EE482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EE883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43</w:t>
                  </w:r>
                </w:p>
              </w:tc>
              <w:tc>
                <w:tcPr>
                  <w:tcW w:w="754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EDF81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shd w:val="clear" w:color="000000" w:fill="FEE182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999999"/>
                    <w:right w:val="single" w:sz="4" w:space="0" w:color="999999"/>
                  </w:tcBorders>
                  <w:shd w:val="clear" w:color="000000" w:fill="E5E5E5"/>
                  <w:noWrap/>
                  <w:vAlign w:val="center"/>
                  <w:hideMark/>
                </w:tcPr>
                <w:p w:rsidR="00B96143" w:rsidRPr="00B96143" w:rsidRDefault="00B96143" w:rsidP="00B96143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</w:pPr>
                  <w:r w:rsidRPr="00B96143">
                    <w:rPr>
                      <w:rFonts w:ascii="Verdana" w:eastAsia="Times New Roman" w:hAnsi="Verdana" w:cs="Arial"/>
                      <w:b/>
                      <w:bCs/>
                      <w:sz w:val="14"/>
                      <w:szCs w:val="20"/>
                      <w:lang w:eastAsia="it-IT"/>
                    </w:rPr>
                    <w:t>1.222</w:t>
                  </w:r>
                </w:p>
              </w:tc>
            </w:tr>
          </w:tbl>
          <w:p w:rsidR="00606304" w:rsidRPr="00FC77DA" w:rsidRDefault="00606304" w:rsidP="002D4016">
            <w:pPr>
              <w:jc w:val="both"/>
              <w:rPr>
                <w:sz w:val="24"/>
              </w:rPr>
            </w:pPr>
          </w:p>
        </w:tc>
      </w:tr>
      <w:tr w:rsidR="00606304" w:rsidRPr="00424330" w:rsidTr="00ED0209">
        <w:tblPrEx>
          <w:tblCellMar>
            <w:left w:w="70" w:type="dxa"/>
            <w:right w:w="70" w:type="dxa"/>
          </w:tblCellMar>
        </w:tblPrEx>
        <w:tc>
          <w:tcPr>
            <w:tcW w:w="2155" w:type="dxa"/>
          </w:tcPr>
          <w:p w:rsidR="00606304" w:rsidRPr="00FC77DA" w:rsidRDefault="00606304" w:rsidP="00EB42FB">
            <w:pPr>
              <w:rPr>
                <w:rFonts w:ascii="Arial Black" w:hAnsi="Arial Black"/>
                <w:b/>
                <w:color w:val="595959" w:themeColor="text1" w:themeTint="A6"/>
                <w:szCs w:val="24"/>
              </w:rPr>
            </w:pPr>
          </w:p>
        </w:tc>
        <w:tc>
          <w:tcPr>
            <w:tcW w:w="7699" w:type="dxa"/>
          </w:tcPr>
          <w:p w:rsidR="007A6D5A" w:rsidRDefault="007A6D5A" w:rsidP="00665905">
            <w:pPr>
              <w:jc w:val="both"/>
            </w:pPr>
          </w:p>
          <w:p w:rsidR="001B1BF2" w:rsidRDefault="00665905" w:rsidP="00665905">
            <w:pPr>
              <w:jc w:val="both"/>
            </w:pPr>
            <w:proofErr w:type="gramStart"/>
            <w:r>
              <w:t>Significativo</w:t>
            </w:r>
            <w:proofErr w:type="gramEnd"/>
            <w:r>
              <w:t xml:space="preserve"> che i cluster in </w:t>
            </w:r>
            <w:r w:rsidR="007A6D5A">
              <w:t>rosso</w:t>
            </w:r>
            <w:r>
              <w:t xml:space="preserve"> siano </w:t>
            </w:r>
            <w:r w:rsidR="00FF41C0">
              <w:t xml:space="preserve">per lo più </w:t>
            </w:r>
            <w:r>
              <w:t xml:space="preserve">in </w:t>
            </w:r>
            <w:r w:rsidR="007A6D5A">
              <w:t>basso</w:t>
            </w:r>
            <w:r>
              <w:t xml:space="preserve"> e quelli in </w:t>
            </w:r>
            <w:r w:rsidR="007A6D5A">
              <w:t>verde</w:t>
            </w:r>
            <w:r>
              <w:t xml:space="preserve"> immediatamente più </w:t>
            </w:r>
            <w:r w:rsidR="007A6D5A">
              <w:t>su, come se dal rosso ci si spostasse in massa verso il verde</w:t>
            </w:r>
            <w:r>
              <w:t>.</w:t>
            </w:r>
            <w:r w:rsidR="00C81873">
              <w:t xml:space="preserve"> </w:t>
            </w:r>
            <w:r>
              <w:t>Questa</w:t>
            </w:r>
            <w:r w:rsidR="001B1BF2">
              <w:t xml:space="preserve"> specie di </w:t>
            </w:r>
            <w:r w:rsidR="001B1BF2" w:rsidRPr="00C81873">
              <w:rPr>
                <w:b/>
              </w:rPr>
              <w:t>“scivolamento da slavina”</w:t>
            </w:r>
            <w:r w:rsidR="001B1BF2">
              <w:t xml:space="preserve"> </w:t>
            </w:r>
            <w:r>
              <w:t>s</w:t>
            </w:r>
            <w:r w:rsidR="001B1BF2">
              <w:t xml:space="preserve">embra una rappresentazione </w:t>
            </w:r>
            <w:r>
              <w:t>plastica</w:t>
            </w:r>
            <w:r w:rsidR="001B1BF2">
              <w:t xml:space="preserve"> di quanto </w:t>
            </w:r>
            <w:r>
              <w:t xml:space="preserve">già </w:t>
            </w:r>
            <w:r w:rsidR="00FF41C0">
              <w:t>detto</w:t>
            </w:r>
            <w:r w:rsidR="00C81873">
              <w:t xml:space="preserve">: </w:t>
            </w:r>
            <w:r w:rsidR="00C81873" w:rsidRPr="00C81873">
              <w:rPr>
                <w:b/>
              </w:rPr>
              <w:t>le</w:t>
            </w:r>
            <w:r w:rsidR="001B1BF2">
              <w:t xml:space="preserve"> </w:t>
            </w:r>
            <w:r w:rsidR="001B1BF2" w:rsidRPr="00C81873">
              <w:rPr>
                <w:b/>
              </w:rPr>
              <w:t xml:space="preserve">imprese </w:t>
            </w:r>
            <w:r w:rsidR="00C81873">
              <w:rPr>
                <w:b/>
              </w:rPr>
              <w:t>pugliesi</w:t>
            </w:r>
            <w:r w:rsidR="001B1BF2" w:rsidRPr="00C81873">
              <w:rPr>
                <w:b/>
              </w:rPr>
              <w:t xml:space="preserve"> hanno reagito alla crisi contraendo la forza lavoro e </w:t>
            </w:r>
            <w:r w:rsidR="007A6D5A">
              <w:rPr>
                <w:b/>
              </w:rPr>
              <w:t xml:space="preserve">sovente </w:t>
            </w:r>
            <w:r w:rsidR="001B1BF2" w:rsidRPr="00C81873">
              <w:rPr>
                <w:b/>
              </w:rPr>
              <w:t>collocandosi in una classe di addetti inferiore</w:t>
            </w:r>
            <w:r w:rsidR="001B1BF2">
              <w:t xml:space="preserve">. </w:t>
            </w:r>
          </w:p>
          <w:p w:rsidR="001B1BF2" w:rsidRDefault="001B1BF2" w:rsidP="001B1BF2">
            <w:pPr>
              <w:jc w:val="both"/>
            </w:pPr>
            <w:r>
              <w:t xml:space="preserve">Che ci sia </w:t>
            </w:r>
            <w:r w:rsidR="00665905">
              <w:t>un riposizionamento</w:t>
            </w:r>
            <w:r w:rsidR="007A6D5A">
              <w:t xml:space="preserve"> a </w:t>
            </w:r>
            <w:proofErr w:type="gramStart"/>
            <w:r w:rsidR="007A6D5A">
              <w:t>livello addetti</w:t>
            </w:r>
            <w:proofErr w:type="gramEnd"/>
            <w:r w:rsidR="007A6D5A">
              <w:t xml:space="preserve"> </w:t>
            </w:r>
            <w:r>
              <w:t xml:space="preserve">si comprende anche </w:t>
            </w:r>
            <w:r w:rsidR="00FF41C0">
              <w:t>del</w:t>
            </w:r>
            <w:r>
              <w:t>l’ultima colonna a destra, quella che riassume le dinamiche pugliesi per classi di addetti</w:t>
            </w:r>
            <w:r w:rsidR="00665905">
              <w:t>:</w:t>
            </w:r>
            <w:r>
              <w:t xml:space="preserve"> </w:t>
            </w:r>
            <w:r w:rsidRPr="00C81873">
              <w:rPr>
                <w:b/>
              </w:rPr>
              <w:t>boom di aziende con 1 solo addetto o 0 addetti</w:t>
            </w:r>
            <w:r>
              <w:t xml:space="preserve"> (quindi </w:t>
            </w:r>
            <w:r w:rsidR="00665905">
              <w:t xml:space="preserve">con </w:t>
            </w:r>
            <w:r>
              <w:t xml:space="preserve">lo stesso imprenditore a lavorare) e un </w:t>
            </w:r>
            <w:r w:rsidRPr="00C81873">
              <w:rPr>
                <w:b/>
              </w:rPr>
              <w:t>dissanguamento di tutte le altre classi di addetti</w:t>
            </w:r>
            <w:r>
              <w:t xml:space="preserve">. Ovviamente più l’azienda cresce per numero di addetti, meno </w:t>
            </w:r>
            <w:r w:rsidR="00665905">
              <w:t xml:space="preserve">l’andamento è </w:t>
            </w:r>
            <w:r w:rsidR="00FF41C0">
              <w:t>forte</w:t>
            </w:r>
            <w:r>
              <w:t>.</w:t>
            </w:r>
          </w:p>
          <w:p w:rsidR="001B1BF2" w:rsidRPr="00FF41C0" w:rsidRDefault="001B1BF2" w:rsidP="001B1BF2">
            <w:pPr>
              <w:jc w:val="both"/>
              <w:rPr>
                <w:b/>
              </w:rPr>
            </w:pPr>
            <w:r>
              <w:t>In</w:t>
            </w:r>
            <w:r w:rsidR="00C81873">
              <w:t>fine,</w:t>
            </w:r>
            <w:r>
              <w:t xml:space="preserve"> l’ultima riga racconta </w:t>
            </w:r>
            <w:r w:rsidRPr="00FC77DA">
              <w:t xml:space="preserve">la performance delle aziende con valore della produzione assente (ossia le società non di capitali, non tenute a presentare bilancio): </w:t>
            </w:r>
            <w:r>
              <w:t xml:space="preserve">575 imprese in meno, a testimonianza del fatto che </w:t>
            </w:r>
            <w:r w:rsidRPr="00FF41C0">
              <w:rPr>
                <w:b/>
              </w:rPr>
              <w:t xml:space="preserve">meno le imprese sono strutturate, più </w:t>
            </w:r>
            <w:r w:rsidR="00FF41C0" w:rsidRPr="00FF41C0">
              <w:rPr>
                <w:b/>
              </w:rPr>
              <w:t>scompaiono</w:t>
            </w:r>
            <w:r w:rsidRPr="00FF41C0">
              <w:rPr>
                <w:b/>
              </w:rPr>
              <w:t xml:space="preserve">. </w:t>
            </w:r>
          </w:p>
          <w:p w:rsidR="002D4016" w:rsidRPr="00FC77DA" w:rsidRDefault="002D4016" w:rsidP="00BC25B7">
            <w:pPr>
              <w:jc w:val="both"/>
              <w:rPr>
                <w:sz w:val="24"/>
              </w:rPr>
            </w:pPr>
          </w:p>
        </w:tc>
      </w:tr>
      <w:tr w:rsidR="00FD24BC" w:rsidRPr="00424330" w:rsidTr="00ED0209">
        <w:tc>
          <w:tcPr>
            <w:tcW w:w="2155" w:type="dxa"/>
          </w:tcPr>
          <w:p w:rsidR="00FD24BC" w:rsidRPr="00FC77DA" w:rsidRDefault="00FD24BC" w:rsidP="00FD24BC">
            <w:pPr>
              <w:rPr>
                <w:rFonts w:ascii="Arial Black" w:hAnsi="Arial Black"/>
                <w:b/>
                <w:color w:val="595959" w:themeColor="text1" w:themeTint="A6"/>
                <w:szCs w:val="24"/>
              </w:rPr>
            </w:pPr>
            <w:proofErr w:type="gramStart"/>
            <w:r>
              <w:rPr>
                <w:rFonts w:ascii="Arial Black" w:hAnsi="Arial Black"/>
                <w:b/>
                <w:color w:val="595959" w:themeColor="text1" w:themeTint="A6"/>
                <w:szCs w:val="24"/>
              </w:rPr>
              <w:t xml:space="preserve">Come </w:t>
            </w:r>
            <w:proofErr w:type="gramEnd"/>
            <w:r>
              <w:rPr>
                <w:rFonts w:ascii="Arial Black" w:hAnsi="Arial Black"/>
                <w:b/>
                <w:color w:val="595959" w:themeColor="text1" w:themeTint="A6"/>
                <w:szCs w:val="24"/>
              </w:rPr>
              <w:t>è andato l’export?</w:t>
            </w:r>
          </w:p>
          <w:p w:rsidR="00FD24BC" w:rsidRDefault="00FD24BC" w:rsidP="00295E4D">
            <w:pPr>
              <w:rPr>
                <w:rFonts w:ascii="Arial Black" w:hAnsi="Arial Black"/>
                <w:b/>
                <w:color w:val="595959" w:themeColor="text1" w:themeTint="A6"/>
                <w:szCs w:val="24"/>
              </w:rPr>
            </w:pPr>
          </w:p>
        </w:tc>
        <w:tc>
          <w:tcPr>
            <w:tcW w:w="7699" w:type="dxa"/>
          </w:tcPr>
          <w:p w:rsidR="00FF41C0" w:rsidRDefault="005532A9" w:rsidP="002D4016">
            <w:pPr>
              <w:jc w:val="both"/>
            </w:pPr>
            <w:r>
              <w:t xml:space="preserve">In tutto il </w:t>
            </w:r>
            <w:proofErr w:type="gramStart"/>
            <w:r>
              <w:t>mondo le</w:t>
            </w:r>
            <w:proofErr w:type="gramEnd"/>
            <w:r>
              <w:t xml:space="preserve"> relazioni commerciali con l’</w:t>
            </w:r>
            <w:r w:rsidR="00FF41C0">
              <w:t xml:space="preserve">estero sono </w:t>
            </w:r>
            <w:r>
              <w:t xml:space="preserve">crollate </w:t>
            </w:r>
            <w:r w:rsidR="00FF41C0">
              <w:t xml:space="preserve">nel 2020 </w:t>
            </w:r>
            <w:r>
              <w:t xml:space="preserve">e </w:t>
            </w:r>
            <w:r w:rsidR="007A6D5A">
              <w:t xml:space="preserve">nemmeno </w:t>
            </w:r>
            <w:r>
              <w:t xml:space="preserve">la Puglia </w:t>
            </w:r>
            <w:r w:rsidR="007A6D5A">
              <w:t>pare sottrarsi</w:t>
            </w:r>
            <w:r>
              <w:t xml:space="preserve"> a questo dato </w:t>
            </w:r>
            <w:r w:rsidR="00FF41C0">
              <w:t>globale</w:t>
            </w:r>
            <w:r>
              <w:t>. I dati dell’</w:t>
            </w:r>
            <w:r w:rsidRPr="00FF41C0">
              <w:rPr>
                <w:b/>
              </w:rPr>
              <w:t xml:space="preserve">export regionale 2020 </w:t>
            </w:r>
            <w:r w:rsidRPr="0009438C">
              <w:rPr>
                <w:b/>
              </w:rPr>
              <w:t xml:space="preserve">sono ancora provvisori, </w:t>
            </w:r>
            <w:r w:rsidR="0009438C" w:rsidRPr="0009438C">
              <w:rPr>
                <w:b/>
              </w:rPr>
              <w:t xml:space="preserve">quindi sono destinati a crescere in termini assoluti, ma ci consentono di osservare alcune tendenze </w:t>
            </w:r>
            <w:proofErr w:type="gramStart"/>
            <w:r w:rsidR="0009438C" w:rsidRPr="0009438C">
              <w:rPr>
                <w:b/>
              </w:rPr>
              <w:t>di fondo</w:t>
            </w:r>
            <w:proofErr w:type="gramEnd"/>
            <w:r w:rsidR="0009438C">
              <w:t xml:space="preserve">. Ad esempio, </w:t>
            </w:r>
            <w:r w:rsidR="0009438C" w:rsidRPr="0009438C">
              <w:rPr>
                <w:b/>
              </w:rPr>
              <w:t>l’export</w:t>
            </w:r>
            <w:r w:rsidR="0009438C" w:rsidRPr="0009438C">
              <w:t xml:space="preserve"> si assesta</w:t>
            </w:r>
            <w:r w:rsidRPr="0009438C">
              <w:t xml:space="preserve"> intorno ai</w:t>
            </w:r>
            <w:r>
              <w:t xml:space="preserve"> </w:t>
            </w:r>
            <w:r w:rsidRPr="00FF41C0">
              <w:rPr>
                <w:b/>
              </w:rPr>
              <w:t>5miliardi e 890 milioni di euro</w:t>
            </w:r>
            <w:r>
              <w:t xml:space="preserve">, con un </w:t>
            </w:r>
            <w:r w:rsidRPr="00FF41C0">
              <w:rPr>
                <w:b/>
              </w:rPr>
              <w:t xml:space="preserve">calo di </w:t>
            </w:r>
            <w:r w:rsidR="0009438C">
              <w:rPr>
                <w:b/>
              </w:rPr>
              <w:t xml:space="preserve">735 milioni di euro rispetto ai dati provvisori </w:t>
            </w:r>
            <w:r w:rsidRPr="00FF41C0">
              <w:rPr>
                <w:b/>
              </w:rPr>
              <w:t>2019</w:t>
            </w:r>
            <w:r w:rsidR="0009438C" w:rsidRPr="0009438C">
              <w:t>, che fungono da termine di paragone</w:t>
            </w:r>
            <w:r w:rsidRPr="0009438C">
              <w:t>.</w:t>
            </w:r>
            <w:r>
              <w:t xml:space="preserve"> </w:t>
            </w:r>
          </w:p>
          <w:p w:rsidR="00FF41C0" w:rsidRDefault="005532A9" w:rsidP="002D4016">
            <w:pPr>
              <w:jc w:val="both"/>
            </w:pPr>
            <w:r w:rsidRPr="00FF41C0">
              <w:rPr>
                <w:b/>
              </w:rPr>
              <w:t>Su questo dato impatta negativamente soprattutto la manifattura</w:t>
            </w:r>
            <w:r>
              <w:t xml:space="preserve">, che fa male </w:t>
            </w:r>
            <w:proofErr w:type="gramStart"/>
            <w:r>
              <w:t>più o meno</w:t>
            </w:r>
            <w:proofErr w:type="gramEnd"/>
            <w:r>
              <w:t xml:space="preserve"> su </w:t>
            </w:r>
            <w:r w:rsidR="007A6D5A">
              <w:t>tutti i fronti</w:t>
            </w:r>
            <w:r>
              <w:t>: metallurgia, farm</w:t>
            </w:r>
            <w:r w:rsidR="00A85DDD">
              <w:t>aceutica e moda peggio di tutti;</w:t>
            </w:r>
            <w:r>
              <w:t xml:space="preserve"> ma anche chimica</w:t>
            </w:r>
            <w:r w:rsidR="006C2AA5">
              <w:t>, automotive</w:t>
            </w:r>
            <w:r>
              <w:t xml:space="preserve"> e meccatronica non fanno meglio. </w:t>
            </w:r>
          </w:p>
          <w:p w:rsidR="005532A9" w:rsidRPr="005532A9" w:rsidRDefault="00FF41C0" w:rsidP="002D4016">
            <w:pPr>
              <w:jc w:val="both"/>
            </w:pPr>
            <w:r>
              <w:t>Buono</w:t>
            </w:r>
            <w:r w:rsidR="005532A9">
              <w:t xml:space="preserve"> invece il </w:t>
            </w:r>
            <w:r w:rsidR="005532A9" w:rsidRPr="00FF41C0">
              <w:rPr>
                <w:b/>
              </w:rPr>
              <w:t>dato in crescita di prodotti dell’agricoltura e dell’</w:t>
            </w:r>
            <w:r w:rsidR="006C2AA5" w:rsidRPr="00FF41C0">
              <w:rPr>
                <w:b/>
              </w:rPr>
              <w:t xml:space="preserve">industria </w:t>
            </w:r>
            <w:r w:rsidR="006C2AA5" w:rsidRPr="00FF41C0">
              <w:rPr>
                <w:b/>
              </w:rPr>
              <w:lastRenderedPageBreak/>
              <w:t>alimentare</w:t>
            </w:r>
            <w:r w:rsidR="005532A9">
              <w:t>:</w:t>
            </w:r>
          </w:p>
          <w:p w:rsidR="005532A9" w:rsidRDefault="006C2AA5" w:rsidP="002D4016">
            <w:pPr>
              <w:jc w:val="both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w:drawing>
                <wp:inline distT="0" distB="0" distL="0" distR="0">
                  <wp:extent cx="6117590" cy="2961640"/>
                  <wp:effectExtent l="0" t="0" r="0" b="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7590" cy="296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AA5" w:rsidRDefault="006C2AA5" w:rsidP="006C2AA5">
            <w:pPr>
              <w:jc w:val="both"/>
              <w:rPr>
                <w:sz w:val="24"/>
              </w:rPr>
            </w:pPr>
          </w:p>
          <w:p w:rsidR="00FF41C0" w:rsidRDefault="00225776" w:rsidP="002D4016">
            <w:pPr>
              <w:jc w:val="both"/>
            </w:pPr>
            <w:r>
              <w:t>Quanto ai</w:t>
            </w:r>
            <w:r w:rsidR="006C2AA5" w:rsidRPr="006C2AA5">
              <w:t xml:space="preserve"> </w:t>
            </w:r>
            <w:r w:rsidR="00FF41C0">
              <w:t>mercati</w:t>
            </w:r>
            <w:r w:rsidR="006C2AA5" w:rsidRPr="006C2AA5">
              <w:t xml:space="preserve"> di sbocco dei prodotti pugliesi, </w:t>
            </w:r>
            <w:r w:rsidRPr="00225776">
              <w:rPr>
                <w:b/>
              </w:rPr>
              <w:t xml:space="preserve">la Puglia nel 2020 esporta meno in molti </w:t>
            </w:r>
            <w:r w:rsidR="00A85DDD">
              <w:rPr>
                <w:b/>
              </w:rPr>
              <w:t>storici</w:t>
            </w:r>
            <w:r w:rsidR="006C2AA5" w:rsidRPr="00225776">
              <w:rPr>
                <w:b/>
              </w:rPr>
              <w:t xml:space="preserve"> </w:t>
            </w:r>
            <w:r w:rsidRPr="00225776">
              <w:rPr>
                <w:b/>
              </w:rPr>
              <w:t xml:space="preserve">Paesi </w:t>
            </w:r>
            <w:r w:rsidR="006C2AA5" w:rsidRPr="00225776">
              <w:rPr>
                <w:b/>
              </w:rPr>
              <w:t>partner</w:t>
            </w:r>
            <w:r w:rsidR="006C2AA5">
              <w:t>: Svizzera -151 milioni, Spagna -146, USA -132</w:t>
            </w:r>
            <w:r w:rsidR="00182E81">
              <w:t xml:space="preserve">, Francia </w:t>
            </w:r>
            <w:r w:rsidR="00FF41C0">
              <w:t>-124</w:t>
            </w:r>
            <w:r w:rsidR="00A85DDD">
              <w:t>, per dirne solo alcuni</w:t>
            </w:r>
            <w:r w:rsidR="00182E81">
              <w:t xml:space="preserve">. </w:t>
            </w:r>
          </w:p>
          <w:p w:rsidR="00225776" w:rsidRDefault="00182E81" w:rsidP="002D4016">
            <w:pPr>
              <w:jc w:val="both"/>
            </w:pPr>
            <w:r w:rsidRPr="00FF41C0">
              <w:t>Invece la</w:t>
            </w:r>
            <w:r w:rsidRPr="00225776">
              <w:rPr>
                <w:b/>
              </w:rPr>
              <w:t xml:space="preserve"> Germania, </w:t>
            </w:r>
            <w:r w:rsidRPr="00FF41C0">
              <w:t>primo partner commerciale della Puglia</w:t>
            </w:r>
            <w:r w:rsidR="00A85DDD">
              <w:t>,</w:t>
            </w:r>
            <w:r w:rsidRPr="00FF41C0">
              <w:t xml:space="preserve"> addirittura</w:t>
            </w:r>
            <w:r w:rsidRPr="00225776">
              <w:rPr>
                <w:b/>
              </w:rPr>
              <w:t xml:space="preserve"> fa molto meglio </w:t>
            </w:r>
            <w:r w:rsidR="00225776" w:rsidRPr="00225776">
              <w:rPr>
                <w:b/>
              </w:rPr>
              <w:t xml:space="preserve">del 2019 </w:t>
            </w:r>
            <w:r w:rsidRPr="00225776">
              <w:rPr>
                <w:b/>
              </w:rPr>
              <w:t>(+162)</w:t>
            </w:r>
            <w:r>
              <w:t xml:space="preserve">. </w:t>
            </w:r>
            <w:proofErr w:type="gramStart"/>
            <w:r>
              <w:t>Nella</w:t>
            </w:r>
            <w:proofErr w:type="gramEnd"/>
            <w:r>
              <w:t xml:space="preserve"> top 10 dei partner commerciali, </w:t>
            </w:r>
            <w:r w:rsidR="00A85DDD" w:rsidRPr="00A85DDD">
              <w:rPr>
                <w:b/>
              </w:rPr>
              <w:t xml:space="preserve">tengono </w:t>
            </w:r>
            <w:r w:rsidRPr="00FF41C0">
              <w:rPr>
                <w:b/>
              </w:rPr>
              <w:t>il Regno Unito</w:t>
            </w:r>
            <w:r>
              <w:t xml:space="preserve"> (+6milioni) </w:t>
            </w:r>
            <w:r w:rsidR="00A85DDD">
              <w:rPr>
                <w:b/>
              </w:rPr>
              <w:t>e</w:t>
            </w:r>
            <w:r w:rsidRPr="00FF41C0">
              <w:rPr>
                <w:b/>
              </w:rPr>
              <w:t xml:space="preserve"> la Turchia</w:t>
            </w:r>
            <w:r>
              <w:t xml:space="preserve"> (+16). </w:t>
            </w:r>
          </w:p>
          <w:p w:rsidR="006C2AA5" w:rsidRPr="006C2AA5" w:rsidRDefault="00182E81" w:rsidP="002D4016">
            <w:pPr>
              <w:jc w:val="both"/>
            </w:pPr>
            <w:r>
              <w:t xml:space="preserve">Sorprendente il fatto che, in un </w:t>
            </w:r>
            <w:proofErr w:type="gramStart"/>
            <w:r>
              <w:t>contesto</w:t>
            </w:r>
            <w:proofErr w:type="gramEnd"/>
            <w:r>
              <w:t xml:space="preserve"> nel quale tanti partn</w:t>
            </w:r>
            <w:r w:rsidR="00A85DDD">
              <w:t>er consolidati della Puglia cala</w:t>
            </w:r>
            <w:r>
              <w:t xml:space="preserve">no, spunti invece </w:t>
            </w:r>
            <w:r w:rsidRPr="00225776">
              <w:rPr>
                <w:b/>
              </w:rPr>
              <w:t>un universo di Paesi anche lontani e spesso di nuova esportazione, che segnano aumenti</w:t>
            </w:r>
            <w:r>
              <w:t xml:space="preserve">, </w:t>
            </w:r>
            <w:r w:rsidR="00225776">
              <w:t xml:space="preserve">perfino </w:t>
            </w:r>
            <w:r>
              <w:t>nell’annus horribilis 2020: Sud Africa (+17), Nuova Zelanda (+9), Arabia Saudita (+7)</w:t>
            </w:r>
            <w:r w:rsidR="00136EC8">
              <w:t xml:space="preserve">, Bahrein (+6), </w:t>
            </w:r>
            <w:r w:rsidR="00136EC8" w:rsidRPr="00136EC8">
              <w:t>Kazakhstan</w:t>
            </w:r>
            <w:r w:rsidR="00136EC8">
              <w:t xml:space="preserve"> (+6), Singapore (+6). Non sono impennate clamorose, ma indicano che nelle difficoltà le aziende </w:t>
            </w:r>
            <w:r w:rsidR="00FF41C0">
              <w:t>regionali hanno dato</w:t>
            </w:r>
            <w:r w:rsidR="00136EC8">
              <w:t xml:space="preserve"> segn</w:t>
            </w:r>
            <w:r w:rsidR="00FF41C0">
              <w:t>i</w:t>
            </w:r>
            <w:r w:rsidR="00136EC8">
              <w:t xml:space="preserve"> di vitalità</w:t>
            </w:r>
            <w:r w:rsidR="00FF41C0">
              <w:t xml:space="preserve"> e anche creatività in alcuni casi</w:t>
            </w:r>
            <w:r w:rsidR="00136EC8">
              <w:t xml:space="preserve">. Inoltre </w:t>
            </w:r>
            <w:r w:rsidR="00FF41C0">
              <w:t>il quadro</w:t>
            </w:r>
            <w:r w:rsidR="00136EC8">
              <w:t xml:space="preserve"> </w:t>
            </w:r>
            <w:r w:rsidR="00FF41C0">
              <w:t xml:space="preserve">complessivo </w:t>
            </w:r>
            <w:r w:rsidR="00A85DDD">
              <w:t>emerso dà</w:t>
            </w:r>
            <w:r w:rsidR="00136EC8">
              <w:t xml:space="preserve"> l’idea che le </w:t>
            </w:r>
            <w:proofErr w:type="gramStart"/>
            <w:r w:rsidR="00136EC8">
              <w:t>problematiche che</w:t>
            </w:r>
            <w:proofErr w:type="gramEnd"/>
            <w:r w:rsidR="00136EC8">
              <w:t xml:space="preserve"> </w:t>
            </w:r>
            <w:r w:rsidR="00A85DDD">
              <w:t>hanno</w:t>
            </w:r>
            <w:r w:rsidR="00136EC8">
              <w:t xml:space="preserve"> frenato i traffici internazionali non siano state logistiche, ma più che altro legate all’organizzazione delle filiere</w:t>
            </w:r>
            <w:r w:rsidR="00A85DDD">
              <w:t xml:space="preserve"> transnazionali</w:t>
            </w:r>
            <w:r w:rsidR="00136EC8">
              <w:t>, che in alcuni casi si è inceppata.</w:t>
            </w:r>
          </w:p>
          <w:p w:rsidR="001D1B05" w:rsidRPr="005532A9" w:rsidRDefault="001D1B05" w:rsidP="002D4016">
            <w:pPr>
              <w:jc w:val="both"/>
            </w:pPr>
            <w:proofErr w:type="gramStart"/>
            <w:r w:rsidRPr="006C2AA5">
              <w:rPr>
                <w:b/>
              </w:rPr>
              <w:t>L’</w:t>
            </w:r>
            <w:proofErr w:type="gramEnd"/>
            <w:r w:rsidRPr="006C2AA5">
              <w:rPr>
                <w:b/>
              </w:rPr>
              <w:t>import fa addirittura peggio, con un miliardo e mezzo di euro in meno</w:t>
            </w:r>
            <w:r w:rsidR="00136EC8">
              <w:rPr>
                <w:b/>
              </w:rPr>
              <w:t xml:space="preserve"> in entrata in Puglia</w:t>
            </w:r>
            <w:r w:rsidRPr="005532A9">
              <w:t xml:space="preserve">. Il risultato, per certi versi paradossale, di questo dato è che </w:t>
            </w:r>
            <w:r w:rsidR="00A85DDD">
              <w:t xml:space="preserve">nel 2020 </w:t>
            </w:r>
            <w:r w:rsidRPr="005532A9">
              <w:t>la bilancia commerciale regionale con i Paesi stranieri migliora, passando</w:t>
            </w:r>
            <w:r w:rsidR="00FF41C0">
              <w:t xml:space="preserve"> dai -750 milioni del 2019 a</w:t>
            </w:r>
            <w:r w:rsidRPr="005532A9">
              <w:t xml:space="preserve"> +55 </w:t>
            </w:r>
            <w:proofErr w:type="gramStart"/>
            <w:r w:rsidRPr="005532A9">
              <w:t>milioni</w:t>
            </w:r>
            <w:proofErr w:type="gramEnd"/>
            <w:r w:rsidRPr="005532A9">
              <w:t xml:space="preserve">. Non </w:t>
            </w:r>
            <w:r w:rsidR="005532A9">
              <w:t>si può però parlare soltanto di</w:t>
            </w:r>
            <w:r w:rsidRPr="005532A9">
              <w:t xml:space="preserve"> risparmio </w:t>
            </w:r>
            <w:r w:rsidR="005532A9">
              <w:t>sulle importazioni</w:t>
            </w:r>
            <w:r w:rsidRPr="005532A9">
              <w:t xml:space="preserve"> e </w:t>
            </w:r>
            <w:r w:rsidR="005532A9">
              <w:t xml:space="preserve">di </w:t>
            </w:r>
            <w:proofErr w:type="gramStart"/>
            <w:r w:rsidR="005532A9">
              <w:t>spinta</w:t>
            </w:r>
            <w:proofErr w:type="gramEnd"/>
            <w:r w:rsidR="005532A9">
              <w:t xml:space="preserve"> all’</w:t>
            </w:r>
            <w:r w:rsidRPr="005532A9">
              <w:t xml:space="preserve">autoconsumo, perché </w:t>
            </w:r>
            <w:r w:rsidR="00FF41C0">
              <w:t>-ancora una volta-</w:t>
            </w:r>
            <w:r w:rsidRPr="005532A9">
              <w:t xml:space="preserve"> </w:t>
            </w:r>
            <w:r w:rsidR="006C2AA5">
              <w:t>dietro questi numeri si cela il blocco delle</w:t>
            </w:r>
            <w:r w:rsidRPr="005532A9">
              <w:t xml:space="preserve"> catene di fornitura internazionali, che </w:t>
            </w:r>
            <w:r w:rsidR="00FF41C0">
              <w:t>funzionano con</w:t>
            </w:r>
            <w:r w:rsidRPr="005532A9">
              <w:t xml:space="preserve"> </w:t>
            </w:r>
            <w:r w:rsidR="00FF41C0">
              <w:t>semilavorati</w:t>
            </w:r>
            <w:r w:rsidRPr="005532A9">
              <w:t xml:space="preserve"> in entrata </w:t>
            </w:r>
            <w:r w:rsidR="00FF41C0">
              <w:t>e prodotti finiti</w:t>
            </w:r>
            <w:r w:rsidRPr="005532A9">
              <w:t xml:space="preserve"> in uscita (o viceversa, a seconda che i subfornitori  siano gli altri Paesi, oppure la Puglia</w:t>
            </w:r>
            <w:r w:rsidR="00FF41C0">
              <w:t>, come avviene ad esempio con la meccanica tedesca</w:t>
            </w:r>
            <w:r w:rsidRPr="005532A9">
              <w:t>).</w:t>
            </w:r>
          </w:p>
          <w:p w:rsidR="008F75D4" w:rsidRPr="00FC77DA" w:rsidRDefault="008F75D4" w:rsidP="00136EC8">
            <w:pPr>
              <w:jc w:val="both"/>
              <w:rPr>
                <w:sz w:val="24"/>
              </w:rPr>
            </w:pPr>
          </w:p>
        </w:tc>
      </w:tr>
      <w:tr w:rsidR="00103D97" w:rsidRPr="00424330" w:rsidTr="00ED0209">
        <w:tc>
          <w:tcPr>
            <w:tcW w:w="2155" w:type="dxa"/>
          </w:tcPr>
          <w:p w:rsidR="00295E4D" w:rsidRPr="00FC77DA" w:rsidRDefault="00C2412F" w:rsidP="00295E4D">
            <w:pPr>
              <w:rPr>
                <w:rFonts w:ascii="Arial Black" w:hAnsi="Arial Black"/>
                <w:b/>
                <w:color w:val="595959" w:themeColor="text1" w:themeTint="A6"/>
                <w:szCs w:val="24"/>
              </w:rPr>
            </w:pPr>
            <w:r w:rsidRPr="00FC77DA">
              <w:rPr>
                <w:rFonts w:ascii="Arial Black" w:hAnsi="Arial Black"/>
                <w:b/>
                <w:color w:val="595959" w:themeColor="text1" w:themeTint="A6"/>
                <w:szCs w:val="24"/>
              </w:rPr>
              <w:lastRenderedPageBreak/>
              <w:t>Come hanno reagito i vari settori economici?</w:t>
            </w:r>
          </w:p>
          <w:p w:rsidR="00295E4D" w:rsidRPr="00FC77DA" w:rsidRDefault="00295E4D" w:rsidP="00295E4D">
            <w:pPr>
              <w:rPr>
                <w:rFonts w:ascii="Arial Black" w:hAnsi="Arial Black"/>
                <w:color w:val="595959" w:themeColor="text1" w:themeTint="A6"/>
                <w:szCs w:val="24"/>
              </w:rPr>
            </w:pPr>
          </w:p>
        </w:tc>
        <w:tc>
          <w:tcPr>
            <w:tcW w:w="7699" w:type="dxa"/>
          </w:tcPr>
          <w:p w:rsidR="00650687" w:rsidRPr="00FC77DA" w:rsidRDefault="006D0A90" w:rsidP="002D4016">
            <w:pPr>
              <w:jc w:val="both"/>
            </w:pPr>
            <w:r w:rsidRPr="00FC77DA">
              <w:t xml:space="preserve">L’inedita situazione </w:t>
            </w:r>
            <w:r w:rsidR="006B2B77" w:rsidRPr="00FC77DA">
              <w:t xml:space="preserve">che l’Italia ha dovuto affrontare ha avuto conseguenze diverse fra i vari comparti economici. Il famoso DPCM con i codici ATECO delle aziende che potevano continuare la propria attività </w:t>
            </w:r>
            <w:r w:rsidR="00BA7666" w:rsidRPr="00FC77DA">
              <w:t>e di quelle che</w:t>
            </w:r>
            <w:r w:rsidR="006B2B77" w:rsidRPr="00FC77DA">
              <w:t xml:space="preserve"> dovevano chiudere è stato </w:t>
            </w:r>
            <w:r w:rsidR="00225776">
              <w:t xml:space="preserve">il primo </w:t>
            </w:r>
            <w:proofErr w:type="gramStart"/>
            <w:r w:rsidR="00225776">
              <w:t>macroscopico</w:t>
            </w:r>
            <w:proofErr w:type="gramEnd"/>
            <w:r w:rsidR="00225776">
              <w:t xml:space="preserve"> spartiacque. Il resto </w:t>
            </w:r>
            <w:proofErr w:type="gramStart"/>
            <w:r w:rsidR="00225776">
              <w:t xml:space="preserve">lo </w:t>
            </w:r>
            <w:proofErr w:type="gramEnd"/>
            <w:r w:rsidR="00225776">
              <w:t>hanno fatto le</w:t>
            </w:r>
            <w:r w:rsidR="006B2B77" w:rsidRPr="00FC77DA">
              <w:t xml:space="preserve"> profonde variazioni della domanda</w:t>
            </w:r>
            <w:r w:rsidR="00536BE1">
              <w:t xml:space="preserve"> e il</w:t>
            </w:r>
            <w:r w:rsidR="006B2B77" w:rsidRPr="00FC77DA">
              <w:t xml:space="preserve"> modificarsi degli stili di vita in gran parte d’Europa e del mondo. </w:t>
            </w:r>
          </w:p>
          <w:p w:rsidR="002D4016" w:rsidRPr="00FC77DA" w:rsidRDefault="006B2B77" w:rsidP="00225776">
            <w:pPr>
              <w:jc w:val="both"/>
              <w:rPr>
                <w:sz w:val="24"/>
              </w:rPr>
            </w:pPr>
            <w:r w:rsidRPr="00FC77DA">
              <w:t xml:space="preserve">Il grafico che segue incrocia le trasformazioni avvenute nel passaggio </w:t>
            </w:r>
            <w:r w:rsidR="00225776">
              <w:t>dal 2019 al 2020</w:t>
            </w:r>
            <w:r w:rsidRPr="00FC77DA">
              <w:t>, collocando le variazioni delle aziende registrate sull’asse orizzontale e quelle degli addetti</w:t>
            </w:r>
            <w:r w:rsidR="00BA7666" w:rsidRPr="00FC77DA">
              <w:t xml:space="preserve"> su quello verticale</w:t>
            </w:r>
            <w:r w:rsidRPr="00FC77DA">
              <w:t xml:space="preserve">. </w:t>
            </w:r>
            <w:r w:rsidR="00536BE1">
              <w:t>Ne emerge un quadro molto vario:</w:t>
            </w:r>
          </w:p>
        </w:tc>
      </w:tr>
      <w:tr w:rsidR="00C2412F" w:rsidRPr="00424330" w:rsidTr="00C81873">
        <w:tc>
          <w:tcPr>
            <w:tcW w:w="9854" w:type="dxa"/>
            <w:gridSpan w:val="2"/>
          </w:tcPr>
          <w:p w:rsidR="00C2412F" w:rsidRPr="00FC77DA" w:rsidRDefault="00953656" w:rsidP="002D4016">
            <w:pPr>
              <w:jc w:val="both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w:drawing>
                <wp:inline distT="0" distB="0" distL="0" distR="0">
                  <wp:extent cx="6120152" cy="5818174"/>
                  <wp:effectExtent l="19050" t="0" r="0" b="0"/>
                  <wp:docPr id="12" name="Immagine 11" descr="Senza nome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nza nome 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58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D97" w:rsidRPr="00424330" w:rsidTr="00ED0209">
        <w:tblPrEx>
          <w:tblCellMar>
            <w:left w:w="70" w:type="dxa"/>
            <w:right w:w="70" w:type="dxa"/>
          </w:tblCellMar>
        </w:tblPrEx>
        <w:tc>
          <w:tcPr>
            <w:tcW w:w="2155" w:type="dxa"/>
          </w:tcPr>
          <w:p w:rsidR="005841AB" w:rsidRPr="00FC77DA" w:rsidRDefault="005841AB" w:rsidP="00295E4D">
            <w:pPr>
              <w:rPr>
                <w:rFonts w:ascii="Arial Black" w:hAnsi="Arial Black"/>
                <w:b/>
                <w:color w:val="595959" w:themeColor="text1" w:themeTint="A6"/>
                <w:szCs w:val="24"/>
              </w:rPr>
            </w:pPr>
          </w:p>
        </w:tc>
        <w:tc>
          <w:tcPr>
            <w:tcW w:w="7699" w:type="dxa"/>
          </w:tcPr>
          <w:p w:rsidR="002D4016" w:rsidRPr="00FC77DA" w:rsidRDefault="002D4016" w:rsidP="002D4016">
            <w:pPr>
              <w:jc w:val="both"/>
              <w:rPr>
                <w:b/>
              </w:rPr>
            </w:pPr>
          </w:p>
          <w:p w:rsidR="00494AA4" w:rsidRDefault="00650687" w:rsidP="002D4016">
            <w:pPr>
              <w:jc w:val="both"/>
            </w:pPr>
            <w:r w:rsidRPr="00FC77DA">
              <w:rPr>
                <w:b/>
              </w:rPr>
              <w:t>C</w:t>
            </w:r>
            <w:r w:rsidR="00816570" w:rsidRPr="00FC77DA">
              <w:rPr>
                <w:b/>
              </w:rPr>
              <w:t>ommercio</w:t>
            </w:r>
            <w:r w:rsidR="00816570" w:rsidRPr="00FC77DA">
              <w:t xml:space="preserve"> (in arancione): settore penalizzato come </w:t>
            </w:r>
            <w:proofErr w:type="gramStart"/>
            <w:r w:rsidR="00816570" w:rsidRPr="00FC77DA">
              <w:t>pochi dalla crisi</w:t>
            </w:r>
            <w:proofErr w:type="gramEnd"/>
            <w:r w:rsidR="00816570" w:rsidRPr="00FC77DA">
              <w:t xml:space="preserve">, in particolare con il </w:t>
            </w:r>
            <w:r w:rsidR="00816570" w:rsidRPr="00FC77DA">
              <w:rPr>
                <w:b/>
              </w:rPr>
              <w:t>dettaglio</w:t>
            </w:r>
            <w:r w:rsidR="00816570" w:rsidRPr="00FC77DA">
              <w:t>, che vede calare pesantemente le imprese</w:t>
            </w:r>
            <w:r w:rsidR="00C6242D" w:rsidRPr="00FC77DA">
              <w:t xml:space="preserve"> (-</w:t>
            </w:r>
            <w:r w:rsidR="003130EB">
              <w:t>549</w:t>
            </w:r>
            <w:r w:rsidR="00C6242D" w:rsidRPr="00FC77DA">
              <w:t xml:space="preserve"> registrate</w:t>
            </w:r>
            <w:r w:rsidR="003130EB">
              <w:t>)</w:t>
            </w:r>
            <w:r w:rsidR="00C6242D" w:rsidRPr="00FC77DA">
              <w:t xml:space="preserve">, </w:t>
            </w:r>
            <w:r w:rsidR="00494AA4">
              <w:t>mentre l’aumento degli addetti (+204) sembra un effetto</w:t>
            </w:r>
            <w:r w:rsidR="00536BE1">
              <w:t xml:space="preserve"> di</w:t>
            </w:r>
            <w:r w:rsidR="00494AA4">
              <w:t xml:space="preserve"> aziende che chiudono e </w:t>
            </w:r>
            <w:r w:rsidR="00536BE1">
              <w:t xml:space="preserve">di </w:t>
            </w:r>
            <w:r w:rsidR="00494AA4">
              <w:t xml:space="preserve">figure precedentemente </w:t>
            </w:r>
            <w:r w:rsidR="00536BE1">
              <w:t>“</w:t>
            </w:r>
            <w:r w:rsidR="00494AA4">
              <w:t>in proprio</w:t>
            </w:r>
            <w:r w:rsidR="00536BE1">
              <w:t>”</w:t>
            </w:r>
            <w:r w:rsidR="00494AA4">
              <w:t xml:space="preserve"> che si reinventano come dipendenti altrove.</w:t>
            </w:r>
          </w:p>
          <w:p w:rsidR="00494AA4" w:rsidRDefault="00494AA4" w:rsidP="002D4016">
            <w:pPr>
              <w:jc w:val="both"/>
            </w:pPr>
            <w:r>
              <w:t>Forte l’espulsione di addetti nell’</w:t>
            </w:r>
            <w:r w:rsidRPr="00536BE1">
              <w:rPr>
                <w:b/>
              </w:rPr>
              <w:t>ingrosso</w:t>
            </w:r>
            <w:r>
              <w:t xml:space="preserve"> (-1.358), sia pur a fronte di un timido aumento delle imprese (+76), a testimonianza del fatto che </w:t>
            </w:r>
            <w:r w:rsidR="00A85DDD">
              <w:t xml:space="preserve">la chiusura di aziende per lockdown e </w:t>
            </w:r>
            <w:r>
              <w:t xml:space="preserve">il blocco delle catene di approvvigionamento di tanti settori si </w:t>
            </w:r>
            <w:proofErr w:type="gramStart"/>
            <w:r>
              <w:t>è</w:t>
            </w:r>
            <w:proofErr w:type="gramEnd"/>
            <w:r>
              <w:t xml:space="preserve"> fatto sentire pesantemente nell’intermediazione.</w:t>
            </w:r>
          </w:p>
          <w:p w:rsidR="00494AA4" w:rsidRDefault="00494AA4" w:rsidP="002D4016">
            <w:pPr>
              <w:jc w:val="both"/>
            </w:pPr>
            <w:r>
              <w:t xml:space="preserve">Dati invece lievemente in crescita per la </w:t>
            </w:r>
            <w:r w:rsidR="00536BE1" w:rsidRPr="00536BE1">
              <w:rPr>
                <w:b/>
              </w:rPr>
              <w:t>vendita e</w:t>
            </w:r>
            <w:r w:rsidR="00536BE1">
              <w:t xml:space="preserve"> </w:t>
            </w:r>
            <w:r w:rsidRPr="00536BE1">
              <w:rPr>
                <w:b/>
              </w:rPr>
              <w:t>riparazione auto</w:t>
            </w:r>
            <w:r>
              <w:t xml:space="preserve"> (+51 imprese, +146 dipendenti).</w:t>
            </w:r>
          </w:p>
          <w:p w:rsidR="006B2B77" w:rsidRPr="00FC77DA" w:rsidRDefault="006B2B77" w:rsidP="002D4016">
            <w:pPr>
              <w:jc w:val="both"/>
            </w:pPr>
          </w:p>
          <w:p w:rsidR="00816570" w:rsidRPr="00FC77DA" w:rsidRDefault="00816570" w:rsidP="00C04DA4">
            <w:pPr>
              <w:jc w:val="both"/>
            </w:pPr>
            <w:r w:rsidRPr="00FC77DA">
              <w:rPr>
                <w:b/>
              </w:rPr>
              <w:t>Turismo</w:t>
            </w:r>
            <w:r w:rsidRPr="00FC77DA">
              <w:t xml:space="preserve"> (in </w:t>
            </w:r>
            <w:r w:rsidR="00F63D78">
              <w:t>viola</w:t>
            </w:r>
            <w:r w:rsidRPr="00FC77DA">
              <w:t xml:space="preserve">): </w:t>
            </w:r>
            <w:r w:rsidR="00536BE1">
              <w:t>seria</w:t>
            </w:r>
            <w:r w:rsidRPr="00FC77DA">
              <w:t xml:space="preserve"> </w:t>
            </w:r>
            <w:r w:rsidR="005E1C9B" w:rsidRPr="00FC77DA">
              <w:t>contrazione</w:t>
            </w:r>
            <w:r w:rsidRPr="00FC77DA">
              <w:t xml:space="preserve"> di forza lavoro nei se</w:t>
            </w:r>
            <w:r w:rsidR="00F245C3" w:rsidRPr="00FC77DA">
              <w:t>r</w:t>
            </w:r>
            <w:r w:rsidRPr="00FC77DA">
              <w:t xml:space="preserve">vizi di </w:t>
            </w:r>
            <w:r w:rsidRPr="00FC77DA">
              <w:rPr>
                <w:b/>
              </w:rPr>
              <w:t>alloggio</w:t>
            </w:r>
            <w:r w:rsidR="00F953C7" w:rsidRPr="00FC77DA">
              <w:rPr>
                <w:b/>
              </w:rPr>
              <w:t xml:space="preserve"> </w:t>
            </w:r>
            <w:r w:rsidR="00F953C7" w:rsidRPr="00FC77DA">
              <w:t>(-</w:t>
            </w:r>
            <w:r w:rsidR="00494AA4">
              <w:t>2.006</w:t>
            </w:r>
            <w:r w:rsidR="00F953C7" w:rsidRPr="00FC77DA">
              <w:t>)</w:t>
            </w:r>
            <w:r w:rsidRPr="00FC77DA">
              <w:t xml:space="preserve">, non compensata </w:t>
            </w:r>
            <w:r w:rsidR="00C04DA4">
              <w:t>dall’</w:t>
            </w:r>
            <w:r w:rsidRPr="00FC77DA">
              <w:t xml:space="preserve">aumento del numero </w:t>
            </w:r>
            <w:proofErr w:type="gramStart"/>
            <w:r w:rsidRPr="00FC77DA">
              <w:t xml:space="preserve">di </w:t>
            </w:r>
            <w:proofErr w:type="gramEnd"/>
            <w:r w:rsidRPr="00FC77DA">
              <w:t>imprese</w:t>
            </w:r>
            <w:r w:rsidR="00F953C7" w:rsidRPr="00FC77DA">
              <w:t xml:space="preserve"> (+</w:t>
            </w:r>
            <w:r w:rsidR="00C04DA4">
              <w:t>214</w:t>
            </w:r>
            <w:r w:rsidR="00F953C7" w:rsidRPr="00FC77DA">
              <w:t>)</w:t>
            </w:r>
            <w:r w:rsidR="00C04DA4">
              <w:t>, che ne pare una conseguenza</w:t>
            </w:r>
            <w:r w:rsidRPr="00FC77DA">
              <w:t xml:space="preserve">. Nella </w:t>
            </w:r>
            <w:r w:rsidRPr="00FC77DA">
              <w:rPr>
                <w:b/>
              </w:rPr>
              <w:t>ristorazione</w:t>
            </w:r>
            <w:r w:rsidRPr="00FC77DA">
              <w:t xml:space="preserve">, </w:t>
            </w:r>
            <w:r w:rsidR="00536BE1">
              <w:t>la Puglia fa</w:t>
            </w:r>
            <w:r w:rsidR="00C04DA4">
              <w:t xml:space="preserve"> perfino peggio: -7.240 addetti. V</w:t>
            </w:r>
            <w:r w:rsidRPr="00FC77DA">
              <w:t>i è stato anche</w:t>
            </w:r>
            <w:r w:rsidR="00C04DA4">
              <w:t xml:space="preserve"> qui</w:t>
            </w:r>
            <w:r w:rsidRPr="00FC77DA">
              <w:t xml:space="preserve"> un aumento non banale delle imprese</w:t>
            </w:r>
            <w:r w:rsidR="00F953C7" w:rsidRPr="00FC77DA">
              <w:t xml:space="preserve"> (+</w:t>
            </w:r>
            <w:r w:rsidR="00C04DA4">
              <w:t>310</w:t>
            </w:r>
            <w:r w:rsidR="00F953C7" w:rsidRPr="00FC77DA">
              <w:t>)</w:t>
            </w:r>
            <w:r w:rsidRPr="00FC77DA">
              <w:t xml:space="preserve">, probabilmente determinato </w:t>
            </w:r>
            <w:r w:rsidR="00536BE1">
              <w:t xml:space="preserve">–oltre che dal consueto tentativo di auto impiego- anche </w:t>
            </w:r>
            <w:r w:rsidRPr="00FC77DA">
              <w:t>dalle opportunità del</w:t>
            </w:r>
            <w:r w:rsidR="007F3143" w:rsidRPr="00FC77DA">
              <w:t xml:space="preserve"> pronto chef a domicilio o del </w:t>
            </w:r>
            <w:r w:rsidRPr="00FC77DA">
              <w:t xml:space="preserve">takeaway, diventato </w:t>
            </w:r>
            <w:proofErr w:type="gramStart"/>
            <w:r w:rsidRPr="00FC77DA">
              <w:t xml:space="preserve">una </w:t>
            </w:r>
            <w:proofErr w:type="gramEnd"/>
            <w:r w:rsidRPr="00FC77DA">
              <w:t xml:space="preserve">abitudine per tanti, soprattutto anziani, in periodo di lockdown. Le </w:t>
            </w:r>
            <w:r w:rsidRPr="00FC77DA">
              <w:rPr>
                <w:b/>
              </w:rPr>
              <w:t>agenzie viaggi</w:t>
            </w:r>
            <w:r w:rsidRPr="00FC77DA">
              <w:t xml:space="preserve"> invece hanno sostanzialmente resistito</w:t>
            </w:r>
            <w:r w:rsidR="00536BE1">
              <w:t xml:space="preserve"> nel numero</w:t>
            </w:r>
            <w:r w:rsidRPr="00FC77DA">
              <w:t xml:space="preserve">, </w:t>
            </w:r>
            <w:r w:rsidR="00C04DA4">
              <w:t xml:space="preserve">pur perdendo </w:t>
            </w:r>
            <w:proofErr w:type="gramStart"/>
            <w:r w:rsidR="00C04DA4">
              <w:t>76</w:t>
            </w:r>
            <w:proofErr w:type="gramEnd"/>
            <w:r w:rsidR="00C04DA4">
              <w:t xml:space="preserve"> dipendenti</w:t>
            </w:r>
            <w:r w:rsidRPr="00FC77DA">
              <w:t>.</w:t>
            </w:r>
          </w:p>
          <w:p w:rsidR="006B2B77" w:rsidRPr="00FC77DA" w:rsidRDefault="006B2B77" w:rsidP="002D4016">
            <w:pPr>
              <w:jc w:val="both"/>
            </w:pPr>
          </w:p>
          <w:p w:rsidR="00816570" w:rsidRPr="00FC77DA" w:rsidRDefault="00816570" w:rsidP="002D4016">
            <w:pPr>
              <w:jc w:val="both"/>
            </w:pPr>
            <w:r w:rsidRPr="00FC77DA">
              <w:rPr>
                <w:b/>
              </w:rPr>
              <w:t>Meccatronica</w:t>
            </w:r>
            <w:r w:rsidRPr="00FC77DA">
              <w:t xml:space="preserve"> (in </w:t>
            </w:r>
            <w:r w:rsidR="00F63D78">
              <w:t>azzurro</w:t>
            </w:r>
            <w:r w:rsidRPr="00FC77DA">
              <w:t xml:space="preserve">): </w:t>
            </w:r>
            <w:r w:rsidR="00C04DA4">
              <w:t>m</w:t>
            </w:r>
            <w:r w:rsidR="0094779E" w:rsidRPr="00FC77DA">
              <w:t xml:space="preserve">ale la </w:t>
            </w:r>
            <w:r w:rsidR="0094779E" w:rsidRPr="00FC77DA">
              <w:rPr>
                <w:b/>
              </w:rPr>
              <w:t>meccanica</w:t>
            </w:r>
            <w:r w:rsidR="0094779E" w:rsidRPr="00FC77DA">
              <w:t xml:space="preserve"> in termini di forza lavoro, con -</w:t>
            </w:r>
            <w:r w:rsidR="00C04DA4">
              <w:t>392</w:t>
            </w:r>
            <w:r w:rsidR="0094779E" w:rsidRPr="00FC77DA">
              <w:t xml:space="preserve"> addetti, mentre come natimortalità </w:t>
            </w:r>
            <w:proofErr w:type="gramStart"/>
            <w:r w:rsidR="0094779E" w:rsidRPr="00FC77DA">
              <w:t xml:space="preserve">di </w:t>
            </w:r>
            <w:proofErr w:type="gramEnd"/>
            <w:r w:rsidR="0094779E" w:rsidRPr="00FC77DA">
              <w:t xml:space="preserve">imprese il settore ha perso </w:t>
            </w:r>
            <w:r w:rsidR="00C04DA4">
              <w:t>31</w:t>
            </w:r>
            <w:r w:rsidR="0094779E" w:rsidRPr="00FC77DA">
              <w:t xml:space="preserve"> aziende in tutta la regione. D</w:t>
            </w:r>
            <w:r w:rsidR="00F953C7" w:rsidRPr="00FC77DA">
              <w:t xml:space="preserve">i segno </w:t>
            </w:r>
            <w:r w:rsidR="00536BE1">
              <w:t xml:space="preserve">totalmente </w:t>
            </w:r>
            <w:r w:rsidR="00F953C7" w:rsidRPr="00FC77DA">
              <w:t>opposto l’andamento</w:t>
            </w:r>
            <w:r w:rsidRPr="00FC77DA">
              <w:t xml:space="preserve"> nell’</w:t>
            </w:r>
            <w:r w:rsidRPr="00FC77DA">
              <w:rPr>
                <w:b/>
              </w:rPr>
              <w:t>installazione di macchine industriali</w:t>
            </w:r>
            <w:r w:rsidRPr="00FC77DA">
              <w:t>, che hanno visto un aumento di entrambi i dati</w:t>
            </w:r>
            <w:r w:rsidR="00F953C7" w:rsidRPr="00FC77DA">
              <w:t xml:space="preserve"> (+</w:t>
            </w:r>
            <w:r w:rsidR="00C04DA4">
              <w:t>86</w:t>
            </w:r>
            <w:r w:rsidR="00F953C7" w:rsidRPr="00FC77DA">
              <w:t xml:space="preserve"> aziende, </w:t>
            </w:r>
            <w:r w:rsidR="00A85DDD">
              <w:t xml:space="preserve">addirittura </w:t>
            </w:r>
            <w:r w:rsidR="00F953C7" w:rsidRPr="00FC77DA">
              <w:t>+</w:t>
            </w:r>
            <w:r w:rsidR="00C04DA4">
              <w:t>643</w:t>
            </w:r>
            <w:r w:rsidR="00F953C7" w:rsidRPr="00FC77DA">
              <w:t xml:space="preserve"> operatori)</w:t>
            </w:r>
            <w:r w:rsidRPr="00FC77DA">
              <w:t xml:space="preserve">. Comprensibilmente, con molte aziende manifatturiere </w:t>
            </w:r>
            <w:r w:rsidR="00F245C3" w:rsidRPr="00FC77DA">
              <w:t xml:space="preserve">ferme e altre in riconversione produttiva, chi ha </w:t>
            </w:r>
            <w:r w:rsidR="002371D2" w:rsidRPr="00FC77DA">
              <w:t>potuto continuare l’attività avr</w:t>
            </w:r>
            <w:r w:rsidR="00F245C3" w:rsidRPr="00FC77DA">
              <w:t>à evidentemente</w:t>
            </w:r>
            <w:r w:rsidR="002371D2" w:rsidRPr="00FC77DA">
              <w:t xml:space="preserve"> </w:t>
            </w:r>
            <w:r w:rsidRPr="00FC77DA">
              <w:t xml:space="preserve">avuto bisogno </w:t>
            </w:r>
            <w:r w:rsidR="002371D2" w:rsidRPr="00FC77DA">
              <w:t xml:space="preserve">soprattutto </w:t>
            </w:r>
            <w:r w:rsidRPr="00FC77DA">
              <w:t xml:space="preserve">di installare o riparare macchine industriali, </w:t>
            </w:r>
            <w:r w:rsidR="002371D2" w:rsidRPr="00FC77DA">
              <w:t>più che di acquistarne di nuove</w:t>
            </w:r>
            <w:r w:rsidRPr="00FC77DA">
              <w:t xml:space="preserve">. Contrazione della manodopera anche per le imprese che producono </w:t>
            </w:r>
            <w:r w:rsidRPr="00FC77DA">
              <w:rPr>
                <w:b/>
              </w:rPr>
              <w:t>navi o componentistica per aerei e treni</w:t>
            </w:r>
            <w:r w:rsidR="0094779E" w:rsidRPr="00FC77DA">
              <w:rPr>
                <w:b/>
              </w:rPr>
              <w:t xml:space="preserve"> </w:t>
            </w:r>
            <w:r w:rsidR="0094779E" w:rsidRPr="00FC77DA">
              <w:t>(-1</w:t>
            </w:r>
            <w:r w:rsidR="00C04DA4">
              <w:t>66</w:t>
            </w:r>
            <w:r w:rsidR="0094779E" w:rsidRPr="00FC77DA">
              <w:t xml:space="preserve">). Sofferenze, anche per </w:t>
            </w:r>
            <w:r w:rsidRPr="00FC77DA">
              <w:rPr>
                <w:b/>
              </w:rPr>
              <w:t>automotive</w:t>
            </w:r>
            <w:r w:rsidRPr="00FC77DA">
              <w:t xml:space="preserve"> </w:t>
            </w:r>
            <w:r w:rsidR="00A20BE6" w:rsidRPr="00FC77DA">
              <w:t>e</w:t>
            </w:r>
            <w:r w:rsidR="0094779E" w:rsidRPr="00FC77DA">
              <w:t xml:space="preserve">d </w:t>
            </w:r>
            <w:r w:rsidRPr="00FC77DA">
              <w:rPr>
                <w:b/>
              </w:rPr>
              <w:t>elettrotecnica</w:t>
            </w:r>
            <w:r w:rsidRPr="00FC77DA">
              <w:t>.</w:t>
            </w:r>
          </w:p>
          <w:p w:rsidR="006B2B77" w:rsidRPr="00FC77DA" w:rsidRDefault="006B2B77" w:rsidP="002D4016">
            <w:pPr>
              <w:jc w:val="both"/>
            </w:pPr>
          </w:p>
          <w:p w:rsidR="00D24F9C" w:rsidRDefault="00536BE1" w:rsidP="002D4016">
            <w:pPr>
              <w:jc w:val="both"/>
            </w:pPr>
            <w:r>
              <w:rPr>
                <w:b/>
              </w:rPr>
              <w:t>Sanità,</w:t>
            </w:r>
            <w:r w:rsidR="00816570" w:rsidRPr="00FC77DA">
              <w:rPr>
                <w:b/>
              </w:rPr>
              <w:t xml:space="preserve"> igiene</w:t>
            </w:r>
            <w:r>
              <w:rPr>
                <w:b/>
              </w:rPr>
              <w:t>, servizi alla persona</w:t>
            </w:r>
            <w:r w:rsidR="00816570" w:rsidRPr="00FC77DA">
              <w:t xml:space="preserve"> (in rosso): come prevedibile, in un periodo di grave crisi epidemica, </w:t>
            </w:r>
            <w:r w:rsidR="007538B9" w:rsidRPr="00FC77DA">
              <w:rPr>
                <w:b/>
              </w:rPr>
              <w:t>nell’assistenza sanitaria</w:t>
            </w:r>
            <w:r w:rsidR="007538B9" w:rsidRPr="00FC77DA">
              <w:t xml:space="preserve"> </w:t>
            </w:r>
            <w:r w:rsidR="00816570" w:rsidRPr="00FC77DA">
              <w:t xml:space="preserve">crescono </w:t>
            </w:r>
            <w:r>
              <w:t xml:space="preserve">sia </w:t>
            </w:r>
            <w:r w:rsidR="00816570" w:rsidRPr="00FC77DA">
              <w:t>addetti</w:t>
            </w:r>
            <w:r w:rsidR="007538B9" w:rsidRPr="00FC77DA">
              <w:t xml:space="preserve"> (+</w:t>
            </w:r>
            <w:r w:rsidR="00C04DA4">
              <w:t>695</w:t>
            </w:r>
            <w:r w:rsidR="007538B9" w:rsidRPr="00FC77DA">
              <w:t>)</w:t>
            </w:r>
            <w:r w:rsidR="00816570" w:rsidRPr="00FC77DA">
              <w:t xml:space="preserve"> </w:t>
            </w:r>
            <w:r>
              <w:t>che</w:t>
            </w:r>
            <w:r w:rsidR="00816570" w:rsidRPr="00FC77DA">
              <w:t xml:space="preserve"> imprese</w:t>
            </w:r>
            <w:r w:rsidR="007538B9" w:rsidRPr="00FC77DA">
              <w:t xml:space="preserve"> (+</w:t>
            </w:r>
            <w:r w:rsidR="00C04DA4">
              <w:t>68</w:t>
            </w:r>
            <w:r w:rsidR="007538B9" w:rsidRPr="00FC77DA">
              <w:t>)</w:t>
            </w:r>
            <w:r w:rsidR="00816570" w:rsidRPr="00FC77DA">
              <w:t xml:space="preserve">; </w:t>
            </w:r>
            <w:r w:rsidR="00D24F9C">
              <w:t xml:space="preserve">stesso percorso per i </w:t>
            </w:r>
            <w:r w:rsidR="00D24F9C" w:rsidRPr="00536BE1">
              <w:rPr>
                <w:b/>
              </w:rPr>
              <w:t>servizi di assistenza sociale residenziale</w:t>
            </w:r>
            <w:r w:rsidR="00D24F9C">
              <w:t xml:space="preserve">, </w:t>
            </w:r>
            <w:proofErr w:type="gramStart"/>
            <w:r w:rsidR="00D24F9C">
              <w:t>ai quali</w:t>
            </w:r>
            <w:proofErr w:type="gramEnd"/>
            <w:r w:rsidR="00D24F9C">
              <w:t xml:space="preserve"> la situazione pandemica ha purtroppo portato </w:t>
            </w:r>
            <w:r>
              <w:t xml:space="preserve">una quantità eccezionale di lavoro </w:t>
            </w:r>
            <w:r w:rsidR="00D24F9C">
              <w:t>(+729 addetti, +18 imprese).</w:t>
            </w:r>
            <w:r w:rsidR="00E70274">
              <w:t xml:space="preserve"> Invece nell’</w:t>
            </w:r>
            <w:r w:rsidR="00E70274" w:rsidRPr="00536BE1">
              <w:rPr>
                <w:b/>
              </w:rPr>
              <w:t xml:space="preserve">assistenza </w:t>
            </w:r>
            <w:r w:rsidRPr="00536BE1">
              <w:rPr>
                <w:b/>
              </w:rPr>
              <w:t xml:space="preserve">non residenziale </w:t>
            </w:r>
            <w:r>
              <w:rPr>
                <w:b/>
              </w:rPr>
              <w:t>(</w:t>
            </w:r>
            <w:r w:rsidR="00E70274">
              <w:t>ovvero</w:t>
            </w:r>
            <w:r>
              <w:t xml:space="preserve"> presso la propria</w:t>
            </w:r>
            <w:r w:rsidR="00E70274">
              <w:t xml:space="preserve"> abitazione), ci sono più di 400 addetti in meno, </w:t>
            </w:r>
            <w:proofErr w:type="gramStart"/>
            <w:r w:rsidR="00E70274">
              <w:t xml:space="preserve">come </w:t>
            </w:r>
            <w:proofErr w:type="gramEnd"/>
            <w:r w:rsidR="00E70274">
              <w:t>è prevedibile che fosse, in un contesto in cui i rapporti interpersonali si sono rarefatti</w:t>
            </w:r>
            <w:r>
              <w:t xml:space="preserve"> e l’assistenza domiciliare è diventata anche pericolosa, se non vietata dalle normative vigenti</w:t>
            </w:r>
            <w:r w:rsidR="00E70274">
              <w:t>.</w:t>
            </w:r>
          </w:p>
          <w:p w:rsidR="00816570" w:rsidRPr="00FC77DA" w:rsidRDefault="00816570" w:rsidP="002D4016">
            <w:pPr>
              <w:jc w:val="both"/>
            </w:pPr>
            <w:r w:rsidRPr="00FC77DA">
              <w:t xml:space="preserve">L’eccezionalità della situazione ha aperto spazi </w:t>
            </w:r>
            <w:r w:rsidR="0043301B">
              <w:t xml:space="preserve">di mercato </w:t>
            </w:r>
            <w:r w:rsidRPr="00FC77DA">
              <w:t xml:space="preserve">anche per la </w:t>
            </w:r>
            <w:r w:rsidRPr="00FC77DA">
              <w:rPr>
                <w:b/>
              </w:rPr>
              <w:t xml:space="preserve">produzione di articoli </w:t>
            </w:r>
            <w:proofErr w:type="gramStart"/>
            <w:r w:rsidRPr="00FC77DA">
              <w:rPr>
                <w:b/>
              </w:rPr>
              <w:t>in</w:t>
            </w:r>
            <w:proofErr w:type="gramEnd"/>
            <w:r w:rsidRPr="00FC77DA">
              <w:rPr>
                <w:b/>
              </w:rPr>
              <w:t xml:space="preserve"> gomma</w:t>
            </w:r>
            <w:r w:rsidRPr="00FC77DA">
              <w:t xml:space="preserve"> e plastica e per la </w:t>
            </w:r>
            <w:r w:rsidRPr="00FC77DA">
              <w:rPr>
                <w:b/>
              </w:rPr>
              <w:t>gestione dei rifiuti</w:t>
            </w:r>
            <w:r w:rsidRPr="00FC77DA">
              <w:t xml:space="preserve">, due categorie produttive </w:t>
            </w:r>
            <w:r w:rsidR="00A81091" w:rsidRPr="00FC77DA">
              <w:t xml:space="preserve">che </w:t>
            </w:r>
            <w:r w:rsidRPr="00FC77DA">
              <w:t>vedono un apprezzabile aumento dei dipendenti</w:t>
            </w:r>
            <w:r w:rsidR="007538B9" w:rsidRPr="00FC77DA">
              <w:t xml:space="preserve"> (rispettivamente, +</w:t>
            </w:r>
            <w:r w:rsidR="00D24F9C">
              <w:t>122</w:t>
            </w:r>
            <w:r w:rsidR="007538B9" w:rsidRPr="00FC77DA">
              <w:t xml:space="preserve"> e </w:t>
            </w:r>
            <w:r w:rsidR="007538B9" w:rsidRPr="00FC77DA">
              <w:lastRenderedPageBreak/>
              <w:t>+</w:t>
            </w:r>
            <w:r w:rsidR="00D24F9C">
              <w:t>254</w:t>
            </w:r>
            <w:r w:rsidR="007538B9" w:rsidRPr="00FC77DA">
              <w:t>)</w:t>
            </w:r>
            <w:r w:rsidRPr="00FC77DA">
              <w:t>.</w:t>
            </w:r>
            <w:r w:rsidR="00E70274">
              <w:t xml:space="preserve"> </w:t>
            </w:r>
            <w:r w:rsidR="00536BE1">
              <w:t>N</w:t>
            </w:r>
            <w:r w:rsidR="00E70274">
              <w:t xml:space="preserve">el mondo della </w:t>
            </w:r>
            <w:r w:rsidR="00E70274" w:rsidRPr="00536BE1">
              <w:rPr>
                <w:b/>
              </w:rPr>
              <w:t>disinfestazione</w:t>
            </w:r>
            <w:r w:rsidR="00F825A5">
              <w:t xml:space="preserve">, invece, </w:t>
            </w:r>
            <w:r w:rsidR="00536BE1">
              <w:t xml:space="preserve">la domanda elevata ha portato </w:t>
            </w:r>
            <w:proofErr w:type="gramStart"/>
            <w:r w:rsidR="00536BE1">
              <w:t>ad</w:t>
            </w:r>
            <w:proofErr w:type="gramEnd"/>
            <w:r w:rsidR="00536BE1">
              <w:t xml:space="preserve"> un</w:t>
            </w:r>
            <w:r w:rsidR="00E70274">
              <w:t xml:space="preserve"> fiorire di nuove imprese, +144 rispetto al 2019.</w:t>
            </w:r>
            <w:r w:rsidR="00536BE1">
              <w:t xml:space="preserve"> I</w:t>
            </w:r>
            <w:r w:rsidR="00536BE1" w:rsidRPr="00FC77DA">
              <w:t>n</w:t>
            </w:r>
            <w:r w:rsidR="00F825A5">
              <w:t>fine</w:t>
            </w:r>
            <w:r w:rsidR="00536BE1">
              <w:t>, come purtroppo prevedibile, i</w:t>
            </w:r>
            <w:r w:rsidR="00536BE1" w:rsidRPr="00FC77DA">
              <w:t xml:space="preserve"> </w:t>
            </w:r>
            <w:r w:rsidR="00536BE1" w:rsidRPr="00536BE1">
              <w:rPr>
                <w:b/>
              </w:rPr>
              <w:t>servizi alla persona</w:t>
            </w:r>
            <w:r w:rsidR="00536BE1" w:rsidRPr="00FC77DA">
              <w:t xml:space="preserve"> </w:t>
            </w:r>
            <w:r w:rsidR="00536BE1" w:rsidRPr="00536BE1">
              <w:t>legati al benessere e alla bellezza</w:t>
            </w:r>
            <w:r w:rsidR="00536BE1" w:rsidRPr="00FC77DA">
              <w:t xml:space="preserve"> </w:t>
            </w:r>
            <w:r w:rsidR="00F825A5">
              <w:t xml:space="preserve">hanno </w:t>
            </w:r>
            <w:r w:rsidR="00536BE1">
              <w:t>arranca</w:t>
            </w:r>
            <w:r w:rsidR="00F825A5">
              <w:t>to</w:t>
            </w:r>
            <w:r w:rsidR="00536BE1" w:rsidRPr="00FC77DA">
              <w:t xml:space="preserve"> (-</w:t>
            </w:r>
            <w:r w:rsidR="00536BE1">
              <w:t>682</w:t>
            </w:r>
            <w:r w:rsidR="00536BE1" w:rsidRPr="00FC77DA">
              <w:t xml:space="preserve"> lavoratori).</w:t>
            </w:r>
          </w:p>
          <w:p w:rsidR="006B2B77" w:rsidRPr="00FC77DA" w:rsidRDefault="006B2B77" w:rsidP="002D4016">
            <w:pPr>
              <w:jc w:val="both"/>
            </w:pPr>
          </w:p>
          <w:p w:rsidR="0018008B" w:rsidRDefault="00816570" w:rsidP="002D4016">
            <w:pPr>
              <w:jc w:val="both"/>
            </w:pPr>
            <w:r w:rsidRPr="00FC77DA">
              <w:rPr>
                <w:b/>
              </w:rPr>
              <w:t>Costruzioni</w:t>
            </w:r>
            <w:r w:rsidRPr="00FC77DA">
              <w:t xml:space="preserve"> (in giallo): </w:t>
            </w:r>
            <w:r w:rsidR="002371D2" w:rsidRPr="00FC77DA">
              <w:t xml:space="preserve">a sorpresa, </w:t>
            </w:r>
            <w:r w:rsidR="00F825A5">
              <w:t xml:space="preserve">c’è stato un </w:t>
            </w:r>
            <w:r w:rsidRPr="00FC77DA">
              <w:t>boom di operatori specializzati (</w:t>
            </w:r>
            <w:r w:rsidRPr="00FC77DA">
              <w:rPr>
                <w:b/>
              </w:rPr>
              <w:t>muratori, elettricisti, impiantisti</w:t>
            </w:r>
            <w:proofErr w:type="gramStart"/>
            <w:r w:rsidRPr="00FC77DA">
              <w:rPr>
                <w:b/>
              </w:rPr>
              <w:t>,</w:t>
            </w:r>
            <w:proofErr w:type="gramEnd"/>
            <w:r w:rsidRPr="00FC77DA">
              <w:rPr>
                <w:b/>
              </w:rPr>
              <w:t>ecc.</w:t>
            </w:r>
            <w:r w:rsidRPr="00FC77DA">
              <w:t xml:space="preserve">), che </w:t>
            </w:r>
            <w:r w:rsidR="00A81091" w:rsidRPr="00FC77DA">
              <w:t xml:space="preserve">crescono </w:t>
            </w:r>
            <w:r w:rsidR="007538B9" w:rsidRPr="00FC77DA">
              <w:t xml:space="preserve">vorticosamente </w:t>
            </w:r>
            <w:r w:rsidR="00A81091" w:rsidRPr="00FC77DA">
              <w:t>per</w:t>
            </w:r>
            <w:r w:rsidRPr="00FC77DA">
              <w:t xml:space="preserve"> numero </w:t>
            </w:r>
            <w:r w:rsidR="00A81091" w:rsidRPr="00FC77DA">
              <w:t xml:space="preserve">sia </w:t>
            </w:r>
            <w:r w:rsidRPr="00FC77DA">
              <w:t xml:space="preserve">di imprese </w:t>
            </w:r>
            <w:r w:rsidR="007538B9" w:rsidRPr="00FC77DA">
              <w:t>(+</w:t>
            </w:r>
            <w:r w:rsidR="009E21BA">
              <w:t>506</w:t>
            </w:r>
            <w:r w:rsidR="007538B9" w:rsidRPr="00FC77DA">
              <w:t xml:space="preserve">) </w:t>
            </w:r>
            <w:r w:rsidRPr="00FC77DA">
              <w:t>che di addetti</w:t>
            </w:r>
            <w:r w:rsidR="007538B9" w:rsidRPr="00FC77DA">
              <w:t xml:space="preserve"> (+</w:t>
            </w:r>
            <w:r w:rsidR="009E21BA">
              <w:t>1.558</w:t>
            </w:r>
            <w:r w:rsidR="007538B9" w:rsidRPr="00FC77DA">
              <w:t>)</w:t>
            </w:r>
            <w:r w:rsidR="00D24F9C">
              <w:t>, forse per effetto del bonus casa varato dal Governo</w:t>
            </w:r>
            <w:r w:rsidRPr="00FC77DA">
              <w:t xml:space="preserve">. </w:t>
            </w:r>
            <w:r w:rsidR="00D24F9C" w:rsidRPr="00FC77DA">
              <w:t xml:space="preserve">Oppure, stando forzosamente in lockdown, molte persone hanno approfittato della situazione per </w:t>
            </w:r>
            <w:proofErr w:type="gramStart"/>
            <w:r w:rsidR="00D24F9C" w:rsidRPr="00FC77DA">
              <w:t>effettuare</w:t>
            </w:r>
            <w:proofErr w:type="gramEnd"/>
            <w:r w:rsidR="00D24F9C" w:rsidRPr="00FC77DA">
              <w:t xml:space="preserve"> lavori nelle abitazioni. </w:t>
            </w:r>
            <w:r w:rsidR="00372A37" w:rsidRPr="00FC77DA">
              <w:t xml:space="preserve">Percorso inverso </w:t>
            </w:r>
            <w:r w:rsidR="00372A37" w:rsidRPr="00FC77DA">
              <w:rPr>
                <w:b/>
              </w:rPr>
              <w:t>nell’ingegneria civile</w:t>
            </w:r>
            <w:r w:rsidR="00372A37" w:rsidRPr="00FC77DA">
              <w:t>, nella quale le aziende diminuiscono impercettibilmente, ma aumentano gli addetti (+</w:t>
            </w:r>
            <w:r w:rsidR="009E21BA">
              <w:t>404</w:t>
            </w:r>
            <w:r w:rsidR="00372A37" w:rsidRPr="00FC77DA">
              <w:t xml:space="preserve">). </w:t>
            </w:r>
          </w:p>
          <w:p w:rsidR="00F825A5" w:rsidRDefault="00816570" w:rsidP="002D4016">
            <w:pPr>
              <w:jc w:val="both"/>
              <w:rPr>
                <w:b/>
              </w:rPr>
            </w:pPr>
            <w:proofErr w:type="gramStart"/>
            <w:r w:rsidRPr="00FC77DA">
              <w:rPr>
                <w:b/>
              </w:rPr>
              <w:t>Nell’edilizia propriamente detta</w:t>
            </w:r>
            <w:r w:rsidR="009E21BA">
              <w:rPr>
                <w:b/>
              </w:rPr>
              <w:t xml:space="preserve">, </w:t>
            </w:r>
            <w:r w:rsidR="009E21BA" w:rsidRPr="009E21BA">
              <w:t>invece,</w:t>
            </w:r>
            <w:r w:rsidR="00D24F9C">
              <w:t xml:space="preserve"> </w:t>
            </w:r>
            <w:r w:rsidR="009E21BA">
              <w:t>469</w:t>
            </w:r>
            <w:r w:rsidR="00D24F9C">
              <w:t xml:space="preserve"> posti </w:t>
            </w:r>
            <w:r w:rsidR="00975E73" w:rsidRPr="00FC77DA">
              <w:t xml:space="preserve">di lavoro in meno e </w:t>
            </w:r>
            <w:r w:rsidR="009E21BA">
              <w:t>(anche conseguentemente), 168</w:t>
            </w:r>
            <w:r w:rsidR="00953656">
              <w:t xml:space="preserve"> imprese in più</w:t>
            </w:r>
            <w:proofErr w:type="gramEnd"/>
            <w:r w:rsidR="00372A37" w:rsidRPr="00FC77DA">
              <w:rPr>
                <w:b/>
              </w:rPr>
              <w:t xml:space="preserve">. </w:t>
            </w:r>
          </w:p>
          <w:p w:rsidR="00816570" w:rsidRPr="00FC77DA" w:rsidRDefault="00372A37" w:rsidP="002D4016">
            <w:pPr>
              <w:jc w:val="both"/>
            </w:pPr>
            <w:proofErr w:type="gramStart"/>
            <w:r w:rsidRPr="00FC77DA">
              <w:t>Forte natalità d’impresa</w:t>
            </w:r>
            <w:r w:rsidR="00816570" w:rsidRPr="00FC77DA">
              <w:t xml:space="preserve"> nelle </w:t>
            </w:r>
            <w:r w:rsidR="00816570" w:rsidRPr="00FC77DA">
              <w:rPr>
                <w:b/>
              </w:rPr>
              <w:t>attività immobiliari</w:t>
            </w:r>
            <w:r w:rsidRPr="00FC77DA">
              <w:rPr>
                <w:b/>
              </w:rPr>
              <w:t xml:space="preserve"> </w:t>
            </w:r>
            <w:r w:rsidRPr="00FC77DA">
              <w:t>(+</w:t>
            </w:r>
            <w:r w:rsidR="009E21BA">
              <w:t>238</w:t>
            </w:r>
            <w:r w:rsidRPr="00FC77DA">
              <w:t xml:space="preserve"> attività), </w:t>
            </w:r>
            <w:r w:rsidR="009E21BA">
              <w:t>ma a</w:t>
            </w:r>
            <w:r w:rsidR="00F825A5">
              <w:t>nche calo dei dipendenti (-111)</w:t>
            </w:r>
            <w:proofErr w:type="gramEnd"/>
            <w:r w:rsidR="00F825A5">
              <w:t>. F</w:t>
            </w:r>
            <w:r w:rsidRPr="00FC77DA">
              <w:t xml:space="preserve">orse in un periodo di crisi economica e sociale il mercato </w:t>
            </w:r>
            <w:r w:rsidR="00F825A5">
              <w:t xml:space="preserve">ha fiutato </w:t>
            </w:r>
            <w:r w:rsidRPr="00FC77DA">
              <w:t xml:space="preserve">un </w:t>
            </w:r>
            <w:r w:rsidR="00F825A5">
              <w:t xml:space="preserve">possibile </w:t>
            </w:r>
            <w:r w:rsidRPr="00FC77DA">
              <w:t xml:space="preserve">aumento della compravendita </w:t>
            </w:r>
            <w:proofErr w:type="gramStart"/>
            <w:r w:rsidRPr="00FC77DA">
              <w:t xml:space="preserve">di </w:t>
            </w:r>
            <w:proofErr w:type="gramEnd"/>
            <w:r w:rsidRPr="00FC77DA">
              <w:t>immobili</w:t>
            </w:r>
            <w:r w:rsidR="009E21BA">
              <w:t xml:space="preserve">; ma soprattutto </w:t>
            </w:r>
            <w:r w:rsidR="00F825A5">
              <w:t xml:space="preserve">l’andamento </w:t>
            </w:r>
            <w:r w:rsidR="009E21BA">
              <w:t xml:space="preserve">pare una forma di </w:t>
            </w:r>
            <w:r w:rsidR="00F825A5">
              <w:t>auto</w:t>
            </w:r>
            <w:r w:rsidR="009E21BA">
              <w:t xml:space="preserve">impiego in un periodo in cui non poche persone hanno perso il </w:t>
            </w:r>
            <w:r w:rsidR="00F825A5">
              <w:t xml:space="preserve">proprio </w:t>
            </w:r>
            <w:r w:rsidR="009E21BA">
              <w:t>lavoro</w:t>
            </w:r>
            <w:r w:rsidR="00816570" w:rsidRPr="00FC77DA">
              <w:t xml:space="preserve">. </w:t>
            </w:r>
          </w:p>
          <w:p w:rsidR="006B2B77" w:rsidRPr="00FC77DA" w:rsidRDefault="006B2B77" w:rsidP="002D4016">
            <w:pPr>
              <w:jc w:val="both"/>
            </w:pPr>
          </w:p>
          <w:p w:rsidR="006B2B77" w:rsidRDefault="00816570" w:rsidP="002D4016">
            <w:pPr>
              <w:jc w:val="both"/>
            </w:pPr>
            <w:r w:rsidRPr="00FC77DA">
              <w:rPr>
                <w:b/>
              </w:rPr>
              <w:t>Logistica</w:t>
            </w:r>
            <w:r w:rsidRPr="00FC77DA">
              <w:t xml:space="preserve"> (in verde): le necessità di approvvigionamento in un </w:t>
            </w:r>
            <w:proofErr w:type="gramStart"/>
            <w:r w:rsidRPr="00FC77DA">
              <w:t>contesto</w:t>
            </w:r>
            <w:proofErr w:type="gramEnd"/>
            <w:r w:rsidRPr="00FC77DA">
              <w:t xml:space="preserve"> quale quello </w:t>
            </w:r>
            <w:r w:rsidR="00F825A5">
              <w:t xml:space="preserve">pandemico </w:t>
            </w:r>
            <w:r w:rsidRPr="00FC77DA">
              <w:t xml:space="preserve">hanno portato ad un </w:t>
            </w:r>
            <w:r w:rsidR="007D37F1" w:rsidRPr="00FC77DA">
              <w:t>grande aumento</w:t>
            </w:r>
            <w:r w:rsidR="00D27324" w:rsidRPr="00FC77DA">
              <w:t xml:space="preserve"> </w:t>
            </w:r>
            <w:r w:rsidR="007D37F1" w:rsidRPr="00FC77DA">
              <w:t>del volume d’affari</w:t>
            </w:r>
            <w:r w:rsidR="00D27324" w:rsidRPr="00FC77DA">
              <w:t xml:space="preserve"> dell’</w:t>
            </w:r>
            <w:r w:rsidR="00B5698C" w:rsidRPr="00FC77DA">
              <w:t>e-commerce</w:t>
            </w:r>
            <w:r w:rsidRPr="00FC77DA">
              <w:t xml:space="preserve">. </w:t>
            </w:r>
            <w:r w:rsidR="00B5698C" w:rsidRPr="00FC77DA">
              <w:t xml:space="preserve"> </w:t>
            </w:r>
            <w:r w:rsidRPr="00FC77DA">
              <w:t xml:space="preserve">Ciò a livello logistico ha </w:t>
            </w:r>
            <w:r w:rsidR="007D37F1" w:rsidRPr="00FC77DA">
              <w:t>comportato</w:t>
            </w:r>
            <w:r w:rsidRPr="00FC77DA">
              <w:t xml:space="preserve"> un boom di addetti nel </w:t>
            </w:r>
            <w:r w:rsidRPr="00FC77DA">
              <w:rPr>
                <w:b/>
              </w:rPr>
              <w:t>trasporto via gomma</w:t>
            </w:r>
            <w:r w:rsidR="00975E73" w:rsidRPr="00FC77DA">
              <w:rPr>
                <w:b/>
              </w:rPr>
              <w:t xml:space="preserve"> </w:t>
            </w:r>
            <w:r w:rsidR="00975E73" w:rsidRPr="00FC77DA">
              <w:t>(+</w:t>
            </w:r>
            <w:r w:rsidR="009E21BA">
              <w:t>1.289</w:t>
            </w:r>
            <w:r w:rsidR="00975E73" w:rsidRPr="00FC77DA">
              <w:t>)</w:t>
            </w:r>
            <w:r w:rsidR="009E21BA">
              <w:t xml:space="preserve">, con una crescita anche del numero </w:t>
            </w:r>
            <w:proofErr w:type="gramStart"/>
            <w:r w:rsidR="009E21BA">
              <w:t xml:space="preserve">di </w:t>
            </w:r>
            <w:proofErr w:type="gramEnd"/>
            <w:r w:rsidR="009E21BA">
              <w:t xml:space="preserve">imprese (+51) che si ritrova anche nel </w:t>
            </w:r>
            <w:r w:rsidR="009E21BA" w:rsidRPr="009E21BA">
              <w:rPr>
                <w:b/>
              </w:rPr>
              <w:t>magazzinaggio</w:t>
            </w:r>
            <w:r w:rsidR="009E21BA">
              <w:t xml:space="preserve"> (+68)</w:t>
            </w:r>
            <w:r w:rsidRPr="00FC77DA">
              <w:t xml:space="preserve">. </w:t>
            </w:r>
            <w:r w:rsidR="00E70274">
              <w:t xml:space="preserve">Anche i </w:t>
            </w:r>
            <w:r w:rsidR="00E70274" w:rsidRPr="00E70274">
              <w:rPr>
                <w:b/>
              </w:rPr>
              <w:t>corrieri</w:t>
            </w:r>
            <w:r w:rsidR="00E70274">
              <w:t xml:space="preserve"> hanno assunto (+91 addetti).</w:t>
            </w:r>
          </w:p>
          <w:p w:rsidR="009E21BA" w:rsidRPr="00FC77DA" w:rsidRDefault="009E21BA" w:rsidP="002D4016">
            <w:pPr>
              <w:jc w:val="both"/>
            </w:pPr>
          </w:p>
          <w:p w:rsidR="00C15015" w:rsidRDefault="00816570" w:rsidP="002D4016">
            <w:pPr>
              <w:jc w:val="both"/>
            </w:pPr>
            <w:proofErr w:type="gramStart"/>
            <w:r w:rsidRPr="00FC77DA">
              <w:rPr>
                <w:b/>
              </w:rPr>
              <w:t>Food</w:t>
            </w:r>
            <w:proofErr w:type="gramEnd"/>
            <w:r w:rsidRPr="00FC77DA">
              <w:t xml:space="preserve"> (in fucsia): se per gli articoli non </w:t>
            </w:r>
            <w:r w:rsidR="00D27324" w:rsidRPr="00FC77DA">
              <w:t>alimentari</w:t>
            </w:r>
            <w:r w:rsidRPr="00FC77DA">
              <w:t xml:space="preserve"> il commercio elettronico l’ha fatta da padrona, per </w:t>
            </w:r>
            <w:r w:rsidR="00D27324" w:rsidRPr="00FC77DA">
              <w:t>l’alimentare</w:t>
            </w:r>
            <w:r w:rsidRPr="00FC77DA">
              <w:t xml:space="preserve"> la situazione legata al Covid 19, al lockdown di milioni di italiani, nonché ad una certa corsa irrazionale all’approvvi</w:t>
            </w:r>
            <w:r w:rsidR="00F825A5">
              <w:t>gionamento di scorte alimentari</w:t>
            </w:r>
            <w:r w:rsidRPr="00FC77DA">
              <w:t xml:space="preserve"> ha portato ad un aumento della domanda. </w:t>
            </w:r>
            <w:r w:rsidR="00B5698C" w:rsidRPr="00FC77DA">
              <w:t xml:space="preserve">Contemporaneamente, la chiusura </w:t>
            </w:r>
            <w:r w:rsidR="00F825A5">
              <w:t>totale o parziale dell’HORECA</w:t>
            </w:r>
            <w:r w:rsidR="00B5698C" w:rsidRPr="00FC77DA">
              <w:t xml:space="preserve"> e la riduzione </w:t>
            </w:r>
            <w:proofErr w:type="gramStart"/>
            <w:r w:rsidR="00B5698C" w:rsidRPr="00FC77DA">
              <w:t>drastica</w:t>
            </w:r>
            <w:proofErr w:type="gramEnd"/>
            <w:r w:rsidR="00B5698C" w:rsidRPr="00FC77DA">
              <w:t xml:space="preserve"> del pendolarismo e del pasto fuori casa hanno aumentato i consumi alimentari nelle proprie residenze, generando una maggiore necessità di pasti “indoor”. </w:t>
            </w:r>
          </w:p>
          <w:p w:rsidR="00C15015" w:rsidRDefault="00B5698C" w:rsidP="002D4016">
            <w:pPr>
              <w:jc w:val="both"/>
            </w:pPr>
            <w:r w:rsidRPr="00FC77DA">
              <w:t xml:space="preserve">Come conseguenza di tutto ciò, </w:t>
            </w:r>
            <w:r w:rsidR="00C15015">
              <w:t>nel 2020</w:t>
            </w:r>
            <w:r w:rsidRPr="00FC77DA">
              <w:t xml:space="preserve"> si è assistito </w:t>
            </w:r>
            <w:proofErr w:type="gramStart"/>
            <w:r w:rsidRPr="00FC77DA">
              <w:t>ad</w:t>
            </w:r>
            <w:proofErr w:type="gramEnd"/>
            <w:r w:rsidRPr="00FC77DA">
              <w:t xml:space="preserve"> una impennata dei lavoratori </w:t>
            </w:r>
            <w:r w:rsidR="00C15015" w:rsidRPr="00FC77DA">
              <w:t xml:space="preserve">nelle </w:t>
            </w:r>
            <w:r w:rsidR="00C15015" w:rsidRPr="00FC77DA">
              <w:rPr>
                <w:b/>
              </w:rPr>
              <w:t xml:space="preserve">industrie alimentari </w:t>
            </w:r>
            <w:r w:rsidR="00C15015" w:rsidRPr="00FC77DA">
              <w:t>(+</w:t>
            </w:r>
            <w:r w:rsidR="00C15015">
              <w:t>2.465</w:t>
            </w:r>
            <w:r w:rsidR="00C15015" w:rsidRPr="00FC77DA">
              <w:t>)</w:t>
            </w:r>
            <w:r w:rsidR="00C15015">
              <w:t>.</w:t>
            </w:r>
          </w:p>
          <w:p w:rsidR="00C15015" w:rsidRDefault="00C15015" w:rsidP="002D4016">
            <w:pPr>
              <w:jc w:val="both"/>
            </w:pPr>
            <w:proofErr w:type="gramStart"/>
            <w:r>
              <w:t xml:space="preserve">Dinamica totalmente diversa e per certi versi </w:t>
            </w:r>
            <w:r w:rsidR="00F825A5">
              <w:t>singolare</w:t>
            </w:r>
            <w:r>
              <w:t xml:space="preserve"> nell’</w:t>
            </w:r>
            <w:r w:rsidRPr="00ED0209">
              <w:rPr>
                <w:b/>
              </w:rPr>
              <w:t>agricoltura</w:t>
            </w:r>
            <w:r>
              <w:t>: -120 aziende e soprattutto -8.277 addetti</w:t>
            </w:r>
            <w:proofErr w:type="gramEnd"/>
            <w:r>
              <w:t xml:space="preserve">. Il calo delle </w:t>
            </w:r>
            <w:r w:rsidR="00F825A5">
              <w:t>imprese</w:t>
            </w:r>
            <w:r>
              <w:t xml:space="preserve"> non è un dato rilevante in questo settore polverizzato, </w:t>
            </w:r>
            <w:proofErr w:type="gramStart"/>
            <w:r>
              <w:t>infatti</w:t>
            </w:r>
            <w:proofErr w:type="gramEnd"/>
            <w:r>
              <w:t xml:space="preserve"> è un trend in atto da tanto tempo</w:t>
            </w:r>
            <w:r w:rsidR="00F825A5">
              <w:t xml:space="preserve"> e risulta </w:t>
            </w:r>
            <w:r>
              <w:t xml:space="preserve">più che altro </w:t>
            </w:r>
            <w:r w:rsidR="00F825A5">
              <w:t xml:space="preserve">legato alla lenta </w:t>
            </w:r>
            <w:r>
              <w:t>concentrazione</w:t>
            </w:r>
            <w:r w:rsidR="00F825A5">
              <w:t xml:space="preserve"> del comparto</w:t>
            </w:r>
            <w:r>
              <w:t xml:space="preserve">. Invece </w:t>
            </w:r>
            <w:proofErr w:type="gramStart"/>
            <w:r w:rsidR="00810C9D">
              <w:t>pare spiazzante</w:t>
            </w:r>
            <w:proofErr w:type="gramEnd"/>
            <w:r>
              <w:t xml:space="preserve"> confrontare i dati sull’export agricolo in aumento e sulla domanda alimentare in crescita e poi fare i conti con questo calo degli addetti. Su questo versante valgano però due considerazioni. La prima è che l’agricoltura in ogni parte d’Italia reagisce spesso alle situazioni </w:t>
            </w:r>
            <w:proofErr w:type="gramStart"/>
            <w:r>
              <w:t xml:space="preserve">di </w:t>
            </w:r>
            <w:proofErr w:type="gramEnd"/>
            <w:r>
              <w:t>incertezza attraverso il ricorso al sommerso. La seconda considerazione invece riguarda la disponibilità di manodopera, anche straniera</w:t>
            </w:r>
            <w:r w:rsidR="00503980">
              <w:t xml:space="preserve"> a seguito di politiche </w:t>
            </w:r>
            <w:r w:rsidR="00503980">
              <w:lastRenderedPageBreak/>
              <w:t xml:space="preserve">restrittive in materia </w:t>
            </w:r>
            <w:proofErr w:type="gramStart"/>
            <w:r w:rsidR="00503980">
              <w:t xml:space="preserve">di </w:t>
            </w:r>
            <w:proofErr w:type="gramEnd"/>
            <w:r w:rsidR="00503980">
              <w:t>immigrazione</w:t>
            </w:r>
            <w:r>
              <w:t xml:space="preserve">. </w:t>
            </w:r>
            <w:r w:rsidR="00503980">
              <w:t>V</w:t>
            </w:r>
            <w:r>
              <w:t xml:space="preserve">i sono interi comparti verdi che poggiano sulla manodopera straniera e </w:t>
            </w:r>
            <w:r w:rsidR="004B2F0F">
              <w:t xml:space="preserve">le decisioni politiche possono determinare anche </w:t>
            </w:r>
            <w:r>
              <w:t>conseguenze</w:t>
            </w:r>
            <w:r w:rsidR="004B2F0F">
              <w:t xml:space="preserve"> sulla capacità produttiva e sui</w:t>
            </w:r>
            <w:r>
              <w:t xml:space="preserve"> sistemi </w:t>
            </w:r>
            <w:r w:rsidR="00503980">
              <w:t>economici</w:t>
            </w:r>
            <w:r>
              <w:t>.</w:t>
            </w:r>
          </w:p>
          <w:p w:rsidR="006B2B77" w:rsidRPr="00FC77DA" w:rsidRDefault="006B2B77" w:rsidP="002D4016">
            <w:pPr>
              <w:jc w:val="both"/>
            </w:pPr>
          </w:p>
          <w:p w:rsidR="00A92DF6" w:rsidRDefault="00816570" w:rsidP="002D4016">
            <w:pPr>
              <w:jc w:val="both"/>
            </w:pPr>
            <w:r w:rsidRPr="00FC77DA">
              <w:rPr>
                <w:b/>
              </w:rPr>
              <w:t>Industrie culturali e creative</w:t>
            </w:r>
            <w:r w:rsidRPr="00FC77DA">
              <w:t xml:space="preserve"> (in </w:t>
            </w:r>
            <w:r w:rsidR="00F63D78">
              <w:t>viola</w:t>
            </w:r>
            <w:r w:rsidRPr="00FC77DA">
              <w:t xml:space="preserve">): questo comparto </w:t>
            </w:r>
            <w:r w:rsidR="00A92DF6">
              <w:t>soffre</w:t>
            </w:r>
            <w:r w:rsidR="0032227C">
              <w:t xml:space="preserve"> molto</w:t>
            </w:r>
            <w:r w:rsidR="00A92DF6">
              <w:t xml:space="preserve">, come </w:t>
            </w:r>
            <w:r w:rsidR="004B2F0F">
              <w:t xml:space="preserve">del resto </w:t>
            </w:r>
            <w:r w:rsidR="00A92DF6">
              <w:t xml:space="preserve">in tutta Italia: </w:t>
            </w:r>
            <w:r w:rsidR="004B2F0F">
              <w:t>-577 operatori della comunicazione</w:t>
            </w:r>
            <w:proofErr w:type="gramStart"/>
            <w:r w:rsidR="004B2F0F">
              <w:t xml:space="preserve"> ,</w:t>
            </w:r>
            <w:proofErr w:type="gramEnd"/>
            <w:r w:rsidR="004B2F0F">
              <w:t xml:space="preserve"> -414 addetti nel settore divertimento, intrattenimento e sport, </w:t>
            </w:r>
            <w:r w:rsidR="00A92DF6">
              <w:t>-243 operatori dello spettacolo</w:t>
            </w:r>
            <w:r w:rsidR="00953656">
              <w:t>, -181 nella produzione video-cinematografica</w:t>
            </w:r>
            <w:r w:rsidR="00A92DF6">
              <w:t xml:space="preserve">.  </w:t>
            </w:r>
            <w:r w:rsidR="0032227C">
              <w:t>Il flebile aumento delle imprese</w:t>
            </w:r>
            <w:r w:rsidR="00953656">
              <w:t xml:space="preserve"> che </w:t>
            </w:r>
            <w:proofErr w:type="gramStart"/>
            <w:r w:rsidR="00953656">
              <w:t xml:space="preserve">si </w:t>
            </w:r>
            <w:proofErr w:type="gramEnd"/>
            <w:r w:rsidR="00953656">
              <w:t xml:space="preserve">intravede </w:t>
            </w:r>
            <w:r w:rsidR="0032227C">
              <w:t xml:space="preserve">è </w:t>
            </w:r>
            <w:r w:rsidR="00A15E89">
              <w:t>probabilmente conseguente a</w:t>
            </w:r>
            <w:r w:rsidR="0032227C">
              <w:t xml:space="preserve">lla perdita del lavoro. </w:t>
            </w:r>
          </w:p>
          <w:p w:rsidR="006B2B77" w:rsidRPr="00FC77DA" w:rsidRDefault="006B2B77" w:rsidP="002D4016">
            <w:pPr>
              <w:jc w:val="both"/>
            </w:pPr>
          </w:p>
          <w:p w:rsidR="00C66B5B" w:rsidRDefault="00816570" w:rsidP="00A15E89">
            <w:pPr>
              <w:jc w:val="both"/>
            </w:pPr>
            <w:r w:rsidRPr="00FC77DA">
              <w:rPr>
                <w:b/>
              </w:rPr>
              <w:t>Servizi alle imprese</w:t>
            </w:r>
            <w:r w:rsidRPr="00FC77DA">
              <w:t xml:space="preserve"> (in </w:t>
            </w:r>
            <w:r w:rsidR="00F63D78">
              <w:t>rosa</w:t>
            </w:r>
            <w:r w:rsidRPr="00FC77DA">
              <w:t xml:space="preserve">): </w:t>
            </w:r>
            <w:r w:rsidR="00A15E89">
              <w:t xml:space="preserve">è un settore con luci e ombre. </w:t>
            </w:r>
            <w:proofErr w:type="gramStart"/>
            <w:r w:rsidR="00B241EE">
              <w:t xml:space="preserve">Come </w:t>
            </w:r>
            <w:proofErr w:type="gramEnd"/>
            <w:r w:rsidR="00B241EE">
              <w:t>era ovvio in un periodo pandemico, b</w:t>
            </w:r>
            <w:r w:rsidR="001D622A">
              <w:t>ene</w:t>
            </w:r>
            <w:r w:rsidR="00A15E89">
              <w:t xml:space="preserve"> la </w:t>
            </w:r>
            <w:r w:rsidR="00A15E89" w:rsidRPr="00A15E89">
              <w:rPr>
                <w:b/>
              </w:rPr>
              <w:t>ricerca scientifica</w:t>
            </w:r>
            <w:r w:rsidR="00A15E89">
              <w:t>, con 23 imprese e 151 addetti in più. Cresce anche l’</w:t>
            </w:r>
            <w:r w:rsidR="00A15E89" w:rsidRPr="00A15E89">
              <w:rPr>
                <w:b/>
              </w:rPr>
              <w:t>informatica</w:t>
            </w:r>
            <w:r w:rsidR="00A15E89">
              <w:t xml:space="preserve"> (+79 imprese, +380 addetti), molto probabilmente per il processo in atto di massiccio riposizionamento delle aziende sul web. Sembra </w:t>
            </w:r>
            <w:r w:rsidR="00605D97">
              <w:t xml:space="preserve">insomma </w:t>
            </w:r>
            <w:r w:rsidR="00A15E89">
              <w:t>una conseguenza dell’esplosione dell’</w:t>
            </w:r>
            <w:proofErr w:type="gramStart"/>
            <w:r w:rsidR="00A15E89">
              <w:t>e-commerce</w:t>
            </w:r>
            <w:proofErr w:type="gramEnd"/>
            <w:r w:rsidR="00A15E89">
              <w:t xml:space="preserve">, del click and collect, dell’informatizzazione dei servizi a domicilio, ecc. </w:t>
            </w:r>
          </w:p>
          <w:p w:rsidR="00A15E89" w:rsidRDefault="00C66B5B" w:rsidP="00A15E89">
            <w:pPr>
              <w:jc w:val="both"/>
            </w:pPr>
            <w:r>
              <w:t>Anche a</w:t>
            </w:r>
            <w:r w:rsidR="00A15E89">
              <w:t xml:space="preserve">ltri </w:t>
            </w:r>
            <w:r>
              <w:t>sub</w:t>
            </w:r>
            <w:r w:rsidR="00A15E89">
              <w:t xml:space="preserve">settori hanno dinamiche </w:t>
            </w:r>
            <w:r>
              <w:t xml:space="preserve">buone, ad esempio </w:t>
            </w:r>
            <w:r w:rsidR="00A15E89" w:rsidRPr="00FC77DA">
              <w:t xml:space="preserve">i </w:t>
            </w:r>
            <w:r w:rsidR="00A15E89" w:rsidRPr="00FC77DA">
              <w:rPr>
                <w:b/>
              </w:rPr>
              <w:t xml:space="preserve">call center </w:t>
            </w:r>
            <w:r w:rsidR="00A15E89" w:rsidRPr="00FC77DA">
              <w:t>(</w:t>
            </w:r>
            <w:r w:rsidR="00A15E89">
              <w:t>+591</w:t>
            </w:r>
            <w:r w:rsidR="00A15E89" w:rsidRPr="00FC77DA">
              <w:t xml:space="preserve"> lavoratori, +</w:t>
            </w:r>
            <w:r w:rsidR="00A15E89">
              <w:t>53</w:t>
            </w:r>
            <w:r w:rsidR="00A15E89" w:rsidRPr="00FC77DA">
              <w:t xml:space="preserve"> imprese)</w:t>
            </w:r>
            <w:r w:rsidR="00A15E89">
              <w:t>.</w:t>
            </w:r>
            <w:r w:rsidR="00A15E89" w:rsidRPr="00FC77DA">
              <w:t xml:space="preserve"> Aumentano </w:t>
            </w:r>
            <w:r>
              <w:t>pure</w:t>
            </w:r>
            <w:r w:rsidR="00A15E89" w:rsidRPr="00FC77DA">
              <w:t xml:space="preserve"> gli impiegati nei </w:t>
            </w:r>
            <w:r w:rsidR="00A15E89" w:rsidRPr="00FC77DA">
              <w:rPr>
                <w:b/>
              </w:rPr>
              <w:t xml:space="preserve">servizi di vigilanza </w:t>
            </w:r>
            <w:r w:rsidR="00A15E89" w:rsidRPr="00FC77DA">
              <w:t>(+</w:t>
            </w:r>
            <w:r w:rsidR="00A15E89">
              <w:t>738</w:t>
            </w:r>
            <w:r w:rsidR="00A15E89" w:rsidRPr="00FC77DA">
              <w:t xml:space="preserve">), </w:t>
            </w:r>
            <w:proofErr w:type="gramStart"/>
            <w:r w:rsidR="00A15E89" w:rsidRPr="00FC77DA">
              <w:t xml:space="preserve">come </w:t>
            </w:r>
            <w:proofErr w:type="gramEnd"/>
            <w:r w:rsidR="00A15E89" w:rsidRPr="00FC77DA">
              <w:t xml:space="preserve">era </w:t>
            </w:r>
            <w:r w:rsidR="00236405" w:rsidRPr="00FC77DA">
              <w:t>ragionevole</w:t>
            </w:r>
            <w:r w:rsidR="00A15E89" w:rsidRPr="00FC77DA">
              <w:t xml:space="preserve"> attendersi in un </w:t>
            </w:r>
            <w:r w:rsidR="00A15E89">
              <w:t>anno</w:t>
            </w:r>
            <w:r w:rsidR="00A15E89" w:rsidRPr="00FC77DA">
              <w:t xml:space="preserve"> in cui molte aziende sono rimaste forzatamente chiuse.</w:t>
            </w:r>
            <w:r w:rsidR="00A15E89">
              <w:t xml:space="preserve"> </w:t>
            </w:r>
          </w:p>
          <w:p w:rsidR="00ED0209" w:rsidRDefault="00C66B5B" w:rsidP="002D4016">
            <w:pPr>
              <w:jc w:val="both"/>
            </w:pPr>
            <w:r>
              <w:t xml:space="preserve">Le ombre si addensano invece sui servizi di </w:t>
            </w:r>
            <w:r w:rsidR="00A15E89" w:rsidRPr="00FC77DA">
              <w:rPr>
                <w:b/>
              </w:rPr>
              <w:t xml:space="preserve">direzione aziendale e consulenza </w:t>
            </w:r>
            <w:proofErr w:type="gramStart"/>
            <w:r w:rsidR="00A15E89" w:rsidRPr="00FC77DA">
              <w:rPr>
                <w:b/>
              </w:rPr>
              <w:t>gestionale</w:t>
            </w:r>
            <w:proofErr w:type="gramEnd"/>
            <w:r w:rsidR="00A15E89" w:rsidRPr="00FC77DA">
              <w:t xml:space="preserve">, </w:t>
            </w:r>
            <w:r>
              <w:t>che -</w:t>
            </w:r>
            <w:r w:rsidR="00A15E89" w:rsidRPr="00FC77DA">
              <w:t xml:space="preserve">come </w:t>
            </w:r>
            <w:r w:rsidR="00A15E89">
              <w:t>tanti</w:t>
            </w:r>
            <w:r>
              <w:t xml:space="preserve"> settori di servizio-</w:t>
            </w:r>
            <w:r w:rsidR="00A15E89">
              <w:t xml:space="preserve"> ha</w:t>
            </w:r>
            <w:r w:rsidR="00AB6CC2">
              <w:t>nno</w:t>
            </w:r>
            <w:r w:rsidR="00A15E89">
              <w:t xml:space="preserve"> arrancato,</w:t>
            </w:r>
            <w:r w:rsidR="00A15E89" w:rsidRPr="00FC77DA">
              <w:t xml:space="preserve"> perde</w:t>
            </w:r>
            <w:r w:rsidR="00A15E89">
              <w:t>ndo</w:t>
            </w:r>
            <w:r w:rsidR="00A15E89" w:rsidRPr="00FC77DA">
              <w:t xml:space="preserve"> </w:t>
            </w:r>
            <w:r w:rsidR="00A15E89">
              <w:t>973</w:t>
            </w:r>
            <w:r w:rsidR="00A15E89" w:rsidRPr="00FC77DA">
              <w:t xml:space="preserve"> lavoratori, molti dei quali si </w:t>
            </w:r>
            <w:r w:rsidR="00A15E89">
              <w:t>sono messi in proprio, dando vita a 166 di aziende in più</w:t>
            </w:r>
            <w:r w:rsidR="00A15E89" w:rsidRPr="00FC77DA">
              <w:t xml:space="preserve">. </w:t>
            </w:r>
            <w:r w:rsidR="00A15E89">
              <w:t xml:space="preserve">Male anche le </w:t>
            </w:r>
            <w:r w:rsidR="00A15E89" w:rsidRPr="00ED0209">
              <w:rPr>
                <w:b/>
              </w:rPr>
              <w:t>finanziarie</w:t>
            </w:r>
            <w:r w:rsidR="00A15E89" w:rsidRPr="00FC77DA">
              <w:t xml:space="preserve"> (rispettivamente -1</w:t>
            </w:r>
            <w:r w:rsidR="00A15E89">
              <w:t>44 lavoratori</w:t>
            </w:r>
            <w:r w:rsidR="00A15E89" w:rsidRPr="00FC77DA">
              <w:t>, +</w:t>
            </w:r>
            <w:r w:rsidR="00A15E89">
              <w:t>32 imprese</w:t>
            </w:r>
            <w:r w:rsidR="00A15E89" w:rsidRPr="00FC77DA">
              <w:t>)</w:t>
            </w:r>
            <w:r w:rsidR="00A15E89">
              <w:t>.</w:t>
            </w:r>
          </w:p>
          <w:p w:rsidR="006B2B77" w:rsidRPr="00FC77DA" w:rsidRDefault="006B2B77" w:rsidP="002D4016">
            <w:pPr>
              <w:jc w:val="both"/>
            </w:pPr>
          </w:p>
          <w:p w:rsidR="00C66B5B" w:rsidRDefault="00816570" w:rsidP="00ED0209">
            <w:pPr>
              <w:jc w:val="both"/>
            </w:pPr>
            <w:r w:rsidRPr="00FC77DA">
              <w:rPr>
                <w:b/>
              </w:rPr>
              <w:t>Moda</w:t>
            </w:r>
            <w:r w:rsidRPr="00FC77DA">
              <w:t xml:space="preserve"> (in </w:t>
            </w:r>
            <w:r w:rsidR="00785B51">
              <w:t>verde</w:t>
            </w:r>
            <w:r w:rsidRPr="00FC77DA">
              <w:t xml:space="preserve"> chiaro): </w:t>
            </w:r>
            <w:r w:rsidR="00ED0209">
              <w:t>nel</w:t>
            </w:r>
            <w:r w:rsidRPr="00FC77DA">
              <w:t xml:space="preserve"> 2020</w:t>
            </w:r>
            <w:r w:rsidR="00ED0209">
              <w:t xml:space="preserve"> la moda pugliese perde purtroppo imprese e addetti. Fra i confezionisti si registrano </w:t>
            </w:r>
            <w:proofErr w:type="gramStart"/>
            <w:r w:rsidR="00ED0209">
              <w:t>61</w:t>
            </w:r>
            <w:proofErr w:type="gramEnd"/>
            <w:r w:rsidR="00ED0209">
              <w:t xml:space="preserve"> imprese e 261 addetti in meno; nei calzaturifici, 21 chiusure e 444 persone </w:t>
            </w:r>
            <w:r w:rsidR="0098064B">
              <w:t xml:space="preserve">in più </w:t>
            </w:r>
            <w:r w:rsidR="00ED0209">
              <w:t>senza lavoro.</w:t>
            </w:r>
            <w:r w:rsidR="00C66B5B">
              <w:t xml:space="preserve"> </w:t>
            </w:r>
          </w:p>
          <w:p w:rsidR="005841AB" w:rsidRDefault="00ED0209" w:rsidP="00ED0209">
            <w:pPr>
              <w:jc w:val="both"/>
            </w:pPr>
            <w:r>
              <w:t>La chiusura delle imprese in quest</w:t>
            </w:r>
            <w:r w:rsidR="00C66B5B">
              <w:t>o</w:t>
            </w:r>
            <w:r>
              <w:t xml:space="preserve"> </w:t>
            </w:r>
            <w:r w:rsidR="00C66B5B">
              <w:t>comparto</w:t>
            </w:r>
            <w:r>
              <w:t xml:space="preserve"> è </w:t>
            </w:r>
            <w:r w:rsidR="00816570" w:rsidRPr="00FC77DA">
              <w:t>una dinamica che non dura da pochi anni e che accomuna in qualche misura i settori più “maturi”,</w:t>
            </w:r>
            <w:r w:rsidR="00E35797">
              <w:t xml:space="preserve"> ad esempio anche il legno-arredo,</w:t>
            </w:r>
            <w:r w:rsidR="00816570" w:rsidRPr="00FC77DA">
              <w:t xml:space="preserve"> ma in questo periodo</w:t>
            </w:r>
            <w:r w:rsidR="0098064B">
              <w:t xml:space="preserve"> la dinamica</w:t>
            </w:r>
            <w:r w:rsidR="00816570" w:rsidRPr="00FC77DA">
              <w:t xml:space="preserve"> è stata </w:t>
            </w:r>
            <w:r w:rsidR="0098064B">
              <w:t xml:space="preserve">fortemente </w:t>
            </w:r>
            <w:r w:rsidR="00816570" w:rsidRPr="00FC77DA">
              <w:t xml:space="preserve">accelerata dalla crisi.  </w:t>
            </w:r>
          </w:p>
          <w:p w:rsidR="00E35797" w:rsidRPr="00FC77DA" w:rsidRDefault="00E35797" w:rsidP="00ED0209">
            <w:pPr>
              <w:jc w:val="both"/>
            </w:pPr>
          </w:p>
        </w:tc>
      </w:tr>
      <w:tr w:rsidR="009C40B3" w:rsidRPr="00424330" w:rsidTr="00ED0209">
        <w:tc>
          <w:tcPr>
            <w:tcW w:w="2155" w:type="dxa"/>
          </w:tcPr>
          <w:p w:rsidR="009C40B3" w:rsidRPr="00FC77DA" w:rsidRDefault="004B2F0F" w:rsidP="007D37F1">
            <w:pPr>
              <w:rPr>
                <w:rFonts w:ascii="Arial Black" w:hAnsi="Arial Black"/>
                <w:b/>
                <w:color w:val="595959" w:themeColor="text1" w:themeTint="A6"/>
                <w:szCs w:val="24"/>
              </w:rPr>
            </w:pPr>
            <w:r>
              <w:rPr>
                <w:rFonts w:ascii="Arial Black" w:hAnsi="Arial Black"/>
                <w:b/>
                <w:noProof/>
                <w:color w:val="595959" w:themeColor="text1" w:themeTint="A6"/>
                <w:szCs w:val="24"/>
                <w:lang w:eastAsia="it-IT"/>
              </w:rPr>
              <w:lastRenderedPageBreak/>
              <w:t>ue</w:t>
            </w:r>
            <w:r w:rsidR="009C40B3" w:rsidRPr="00FC77DA">
              <w:rPr>
                <w:rFonts w:ascii="Arial Black" w:hAnsi="Arial Black"/>
                <w:b/>
                <w:noProof/>
                <w:color w:val="595959" w:themeColor="text1" w:themeTint="A6"/>
                <w:szCs w:val="24"/>
                <w:lang w:eastAsia="it-IT"/>
              </w:rPr>
              <w:drawing>
                <wp:inline distT="0" distB="0" distL="0" distR="0">
                  <wp:extent cx="1249033" cy="691268"/>
                  <wp:effectExtent l="19050" t="0" r="8267" b="0"/>
                  <wp:docPr id="13" name="Immagine 0" descr="il sismogra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 sismografo.jpg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693" cy="693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9" w:type="dxa"/>
          </w:tcPr>
          <w:p w:rsidR="009C40B3" w:rsidRPr="00FC77DA" w:rsidRDefault="009C40B3" w:rsidP="00290D7F">
            <w:pPr>
              <w:jc w:val="both"/>
            </w:pPr>
          </w:p>
          <w:p w:rsidR="009C40B3" w:rsidRPr="00FC77DA" w:rsidRDefault="009C40B3" w:rsidP="009C40B3">
            <w:pPr>
              <w:jc w:val="both"/>
              <w:rPr>
                <w:b/>
              </w:rPr>
            </w:pPr>
            <w:r w:rsidRPr="00FC77DA">
              <w:rPr>
                <w:b/>
              </w:rPr>
              <w:t>Direzione e coordinamento:</w:t>
            </w:r>
            <w:r w:rsidR="0007527A">
              <w:rPr>
                <w:b/>
              </w:rPr>
              <w:t xml:space="preserve"> </w:t>
            </w:r>
            <w:r w:rsidRPr="00FC77DA">
              <w:rPr>
                <w:b/>
              </w:rPr>
              <w:t>Luigi Triggiani</w:t>
            </w:r>
          </w:p>
          <w:p w:rsidR="00931361" w:rsidRDefault="00137970" w:rsidP="009C40B3">
            <w:pPr>
              <w:jc w:val="both"/>
              <w:rPr>
                <w:b/>
              </w:rPr>
            </w:pPr>
            <w:proofErr w:type="gramStart"/>
            <w:r w:rsidRPr="00FC77DA">
              <w:rPr>
                <w:b/>
              </w:rPr>
              <w:t>Redazione a</w:t>
            </w:r>
            <w:r w:rsidR="009C40B3" w:rsidRPr="00FC77DA">
              <w:rPr>
                <w:b/>
              </w:rPr>
              <w:t>nalisi economiche</w:t>
            </w:r>
            <w:proofErr w:type="gramEnd"/>
            <w:r w:rsidR="009C40B3" w:rsidRPr="00FC77DA">
              <w:rPr>
                <w:b/>
              </w:rPr>
              <w:t>: Cosmo Albertini</w:t>
            </w:r>
          </w:p>
          <w:p w:rsidR="00931361" w:rsidRPr="009B0EB4" w:rsidRDefault="00931361" w:rsidP="009C40B3">
            <w:pPr>
              <w:jc w:val="both"/>
              <w:rPr>
                <w:i/>
              </w:rPr>
            </w:pPr>
            <w:r w:rsidRPr="009B0EB4">
              <w:rPr>
                <w:i/>
              </w:rPr>
              <w:t xml:space="preserve">Per gli altri numeri della collana: </w:t>
            </w:r>
            <w:hyperlink r:id="rId14" w:history="1">
              <w:r w:rsidRPr="009B0EB4">
                <w:rPr>
                  <w:rStyle w:val="Collegamentoipertestuale"/>
                  <w:i/>
                </w:rPr>
                <w:t>www.unioncamerepuglia.it</w:t>
              </w:r>
            </w:hyperlink>
          </w:p>
          <w:p w:rsidR="00931361" w:rsidRPr="00FC77DA" w:rsidRDefault="00931361" w:rsidP="009C40B3">
            <w:pPr>
              <w:jc w:val="both"/>
            </w:pPr>
          </w:p>
        </w:tc>
      </w:tr>
    </w:tbl>
    <w:p w:rsidR="00295E4D" w:rsidRPr="00424330" w:rsidRDefault="00295E4D" w:rsidP="00EB42FB">
      <w:pPr>
        <w:spacing w:after="0" w:line="240" w:lineRule="auto"/>
        <w:rPr>
          <w:rFonts w:ascii="Arial Black" w:hAnsi="Arial Black"/>
          <w:b/>
          <w:color w:val="595959" w:themeColor="text1" w:themeTint="A6"/>
          <w:sz w:val="24"/>
          <w:szCs w:val="32"/>
        </w:rPr>
      </w:pPr>
    </w:p>
    <w:sectPr w:rsidR="00295E4D" w:rsidRPr="00424330" w:rsidSect="00D81FD4">
      <w:headerReference w:type="default" r:id="rId15"/>
      <w:footerReference w:type="default" r:id="rId16"/>
      <w:pgSz w:w="11906" w:h="16838"/>
      <w:pgMar w:top="1417" w:right="1134" w:bottom="1134" w:left="1134" w:header="0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51" w:rsidRDefault="002A2151" w:rsidP="00503AE2">
      <w:pPr>
        <w:spacing w:after="0" w:line="240" w:lineRule="auto"/>
      </w:pPr>
      <w:r>
        <w:separator/>
      </w:r>
    </w:p>
  </w:endnote>
  <w:endnote w:type="continuationSeparator" w:id="0">
    <w:p w:rsidR="002A2151" w:rsidRDefault="002A2151" w:rsidP="0050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ileron Blac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ileron Heavy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4394"/>
      <w:gridCol w:w="1099"/>
    </w:tblGrid>
    <w:tr w:rsidR="00FF41C0" w:rsidRPr="00D81FD4" w:rsidTr="007A1CAE">
      <w:tc>
        <w:tcPr>
          <w:tcW w:w="4361" w:type="dxa"/>
        </w:tcPr>
        <w:p w:rsidR="00FF41C0" w:rsidRPr="00D81FD4" w:rsidRDefault="00FF41C0">
          <w:pPr>
            <w:pStyle w:val="Pidipagina"/>
            <w:rPr>
              <w:sz w:val="20"/>
              <w:szCs w:val="20"/>
            </w:rPr>
          </w:pPr>
          <w:r w:rsidRPr="00D81FD4">
            <w:rPr>
              <w:sz w:val="20"/>
              <w:szCs w:val="20"/>
            </w:rPr>
            <w:t xml:space="preserve">Unioncamere Puglia - Via </w:t>
          </w:r>
          <w:proofErr w:type="gramStart"/>
          <w:r w:rsidRPr="00D81FD4">
            <w:rPr>
              <w:sz w:val="20"/>
              <w:szCs w:val="20"/>
            </w:rPr>
            <w:t>E.</w:t>
          </w:r>
          <w:proofErr w:type="gramEnd"/>
          <w:r w:rsidRPr="00D81FD4">
            <w:rPr>
              <w:sz w:val="20"/>
              <w:szCs w:val="20"/>
            </w:rPr>
            <w:t xml:space="preserve"> Mola 19, 70121 Bari </w:t>
          </w:r>
        </w:p>
      </w:tc>
      <w:tc>
        <w:tcPr>
          <w:tcW w:w="4394" w:type="dxa"/>
        </w:tcPr>
        <w:p w:rsidR="00FF41C0" w:rsidRPr="00D81FD4" w:rsidRDefault="00FF41C0" w:rsidP="00C2277F">
          <w:pPr>
            <w:pStyle w:val="Pidipagina"/>
            <w:rPr>
              <w:sz w:val="20"/>
              <w:szCs w:val="20"/>
            </w:rPr>
          </w:pPr>
          <w:r w:rsidRPr="00D81FD4">
            <w:rPr>
              <w:sz w:val="20"/>
              <w:szCs w:val="20"/>
            </w:rPr>
            <w:t xml:space="preserve">Report pubblicato in data </w:t>
          </w:r>
          <w:r>
            <w:rPr>
              <w:sz w:val="20"/>
              <w:szCs w:val="20"/>
            </w:rPr>
            <w:t>2</w:t>
          </w:r>
          <w:r w:rsidR="00C2277F">
            <w:rPr>
              <w:sz w:val="20"/>
              <w:szCs w:val="20"/>
            </w:rPr>
            <w:t>5</w:t>
          </w:r>
          <w:r>
            <w:rPr>
              <w:sz w:val="20"/>
              <w:szCs w:val="20"/>
            </w:rPr>
            <w:t>.01.2021</w:t>
          </w:r>
        </w:p>
      </w:tc>
      <w:tc>
        <w:tcPr>
          <w:tcW w:w="1099" w:type="dxa"/>
        </w:tcPr>
        <w:p w:rsidR="00FF41C0" w:rsidRPr="00D81FD4" w:rsidRDefault="00FF41C0" w:rsidP="00D81FD4">
          <w:pPr>
            <w:jc w:val="right"/>
            <w:rPr>
              <w:sz w:val="20"/>
              <w:szCs w:val="20"/>
            </w:rPr>
          </w:pPr>
          <w:proofErr w:type="gramStart"/>
          <w:r w:rsidRPr="00D81FD4">
            <w:rPr>
              <w:sz w:val="20"/>
              <w:szCs w:val="20"/>
            </w:rPr>
            <w:t>pag.</w:t>
          </w:r>
          <w:proofErr w:type="gramEnd"/>
          <w:r w:rsidRPr="00D81FD4">
            <w:rPr>
              <w:sz w:val="20"/>
              <w:szCs w:val="20"/>
            </w:rPr>
            <w:t xml:space="preserve"> </w:t>
          </w:r>
          <w:r w:rsidR="000254EA" w:rsidRPr="00D81FD4">
            <w:rPr>
              <w:sz w:val="20"/>
              <w:szCs w:val="20"/>
            </w:rPr>
            <w:fldChar w:fldCharType="begin"/>
          </w:r>
          <w:r w:rsidRPr="00D81FD4">
            <w:rPr>
              <w:sz w:val="20"/>
              <w:szCs w:val="20"/>
            </w:rPr>
            <w:instrText xml:space="preserve"> PAGE    \* MERGEFORMAT </w:instrText>
          </w:r>
          <w:r w:rsidR="000254EA" w:rsidRPr="00D81FD4">
            <w:rPr>
              <w:sz w:val="20"/>
              <w:szCs w:val="20"/>
            </w:rPr>
            <w:fldChar w:fldCharType="separate"/>
          </w:r>
          <w:r w:rsidR="001966F4">
            <w:rPr>
              <w:noProof/>
              <w:sz w:val="20"/>
              <w:szCs w:val="20"/>
            </w:rPr>
            <w:t>2</w:t>
          </w:r>
          <w:r w:rsidR="000254EA" w:rsidRPr="00D81FD4">
            <w:rPr>
              <w:sz w:val="20"/>
              <w:szCs w:val="20"/>
            </w:rPr>
            <w:fldChar w:fldCharType="end"/>
          </w:r>
        </w:p>
      </w:tc>
    </w:tr>
  </w:tbl>
  <w:p w:rsidR="00FF41C0" w:rsidRDefault="00FF41C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51" w:rsidRDefault="002A2151" w:rsidP="00503AE2">
      <w:pPr>
        <w:spacing w:after="0" w:line="240" w:lineRule="auto"/>
      </w:pPr>
      <w:r>
        <w:separator/>
      </w:r>
    </w:p>
  </w:footnote>
  <w:footnote w:type="continuationSeparator" w:id="0">
    <w:p w:rsidR="002A2151" w:rsidRDefault="002A2151" w:rsidP="00503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8"/>
      <w:gridCol w:w="6126"/>
    </w:tblGrid>
    <w:tr w:rsidR="00FF41C0" w:rsidTr="00ED1896">
      <w:tc>
        <w:tcPr>
          <w:tcW w:w="3728" w:type="dxa"/>
        </w:tcPr>
        <w:p w:rsidR="00FF41C0" w:rsidRDefault="00FF41C0" w:rsidP="001311BF">
          <w:r w:rsidRPr="00295E4D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-59772</wp:posOffset>
                </wp:positionH>
                <wp:positionV relativeFrom="paragraph">
                  <wp:posOffset>578271</wp:posOffset>
                </wp:positionV>
                <wp:extent cx="2142259" cy="748145"/>
                <wp:effectExtent l="19050" t="0" r="0" b="0"/>
                <wp:wrapNone/>
                <wp:docPr id="2" name="Immagine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2259" cy="748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26" w:type="dxa"/>
        </w:tcPr>
        <w:p w:rsidR="00FF41C0" w:rsidRDefault="00FF41C0" w:rsidP="001311BF">
          <w:r>
            <w:rPr>
              <w:noProof/>
              <w:lang w:eastAsia="it-IT"/>
            </w:rPr>
            <w:drawing>
              <wp:inline distT="0" distB="0" distL="0" distR="0">
                <wp:extent cx="3733553" cy="2066306"/>
                <wp:effectExtent l="19050" t="0" r="247" b="0"/>
                <wp:docPr id="3" name="Immagine 0" descr="il sismograf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 sismografo.jpg"/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3553" cy="20663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F41C0" w:rsidRDefault="00FF41C0" w:rsidP="00503AE2">
    <w:pPr>
      <w:pStyle w:val="Intestazione"/>
      <w:jc w:val="center"/>
    </w:pPr>
  </w:p>
  <w:p w:rsidR="00FF41C0" w:rsidRDefault="00FF41C0" w:rsidP="00503AE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26E"/>
    <w:multiLevelType w:val="hybridMultilevel"/>
    <w:tmpl w:val="367217F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2201C9"/>
    <w:multiLevelType w:val="hybridMultilevel"/>
    <w:tmpl w:val="CD6E7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937C5"/>
    <w:multiLevelType w:val="hybridMultilevel"/>
    <w:tmpl w:val="70223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62567"/>
    <w:multiLevelType w:val="hybridMultilevel"/>
    <w:tmpl w:val="6E52A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2734A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E2"/>
    <w:rsid w:val="00000AB8"/>
    <w:rsid w:val="00004D8B"/>
    <w:rsid w:val="00010B05"/>
    <w:rsid w:val="00015B81"/>
    <w:rsid w:val="00017B53"/>
    <w:rsid w:val="000239D9"/>
    <w:rsid w:val="0002482F"/>
    <w:rsid w:val="000254EA"/>
    <w:rsid w:val="000270A5"/>
    <w:rsid w:val="0003353B"/>
    <w:rsid w:val="000338F0"/>
    <w:rsid w:val="0003454D"/>
    <w:rsid w:val="00034F40"/>
    <w:rsid w:val="00045BE3"/>
    <w:rsid w:val="00046043"/>
    <w:rsid w:val="00052907"/>
    <w:rsid w:val="00057BA8"/>
    <w:rsid w:val="00065E5C"/>
    <w:rsid w:val="00067ED2"/>
    <w:rsid w:val="00070322"/>
    <w:rsid w:val="0007225D"/>
    <w:rsid w:val="0007345F"/>
    <w:rsid w:val="00073E3E"/>
    <w:rsid w:val="0007527A"/>
    <w:rsid w:val="00075B83"/>
    <w:rsid w:val="00076A3C"/>
    <w:rsid w:val="00085F7E"/>
    <w:rsid w:val="000862DF"/>
    <w:rsid w:val="0009438C"/>
    <w:rsid w:val="000A286F"/>
    <w:rsid w:val="000A435E"/>
    <w:rsid w:val="000A453E"/>
    <w:rsid w:val="000A4C1C"/>
    <w:rsid w:val="000B2E45"/>
    <w:rsid w:val="000B35BC"/>
    <w:rsid w:val="000B3772"/>
    <w:rsid w:val="000B561D"/>
    <w:rsid w:val="000C2ED7"/>
    <w:rsid w:val="000D2413"/>
    <w:rsid w:val="000D3B5B"/>
    <w:rsid w:val="000E0361"/>
    <w:rsid w:val="000E5D46"/>
    <w:rsid w:val="000E785A"/>
    <w:rsid w:val="000F5E4C"/>
    <w:rsid w:val="00100D6B"/>
    <w:rsid w:val="00103D97"/>
    <w:rsid w:val="00107294"/>
    <w:rsid w:val="001105E4"/>
    <w:rsid w:val="00110E14"/>
    <w:rsid w:val="0011380C"/>
    <w:rsid w:val="00115F6C"/>
    <w:rsid w:val="001244B5"/>
    <w:rsid w:val="0013100B"/>
    <w:rsid w:val="001311BF"/>
    <w:rsid w:val="001344DF"/>
    <w:rsid w:val="00135FDF"/>
    <w:rsid w:val="00136BB6"/>
    <w:rsid w:val="00136EC8"/>
    <w:rsid w:val="00137970"/>
    <w:rsid w:val="001422BB"/>
    <w:rsid w:val="00142A89"/>
    <w:rsid w:val="001455D8"/>
    <w:rsid w:val="00146691"/>
    <w:rsid w:val="00146F8D"/>
    <w:rsid w:val="00155ADD"/>
    <w:rsid w:val="001572AD"/>
    <w:rsid w:val="00161939"/>
    <w:rsid w:val="00175EE6"/>
    <w:rsid w:val="00176B4B"/>
    <w:rsid w:val="00176E2D"/>
    <w:rsid w:val="00177D0E"/>
    <w:rsid w:val="0018008B"/>
    <w:rsid w:val="00182E81"/>
    <w:rsid w:val="00187585"/>
    <w:rsid w:val="00195A02"/>
    <w:rsid w:val="001966F4"/>
    <w:rsid w:val="00196F2A"/>
    <w:rsid w:val="001974E5"/>
    <w:rsid w:val="001A1BC8"/>
    <w:rsid w:val="001A2E5E"/>
    <w:rsid w:val="001A48E9"/>
    <w:rsid w:val="001B1BF2"/>
    <w:rsid w:val="001B35C1"/>
    <w:rsid w:val="001B4119"/>
    <w:rsid w:val="001C384D"/>
    <w:rsid w:val="001C3E56"/>
    <w:rsid w:val="001C531E"/>
    <w:rsid w:val="001D1B05"/>
    <w:rsid w:val="001D622A"/>
    <w:rsid w:val="001D7253"/>
    <w:rsid w:val="001D7942"/>
    <w:rsid w:val="001F0F0A"/>
    <w:rsid w:val="001F13A1"/>
    <w:rsid w:val="001F535E"/>
    <w:rsid w:val="001F7E81"/>
    <w:rsid w:val="00201174"/>
    <w:rsid w:val="00201253"/>
    <w:rsid w:val="002043FD"/>
    <w:rsid w:val="00210418"/>
    <w:rsid w:val="002108B4"/>
    <w:rsid w:val="0021753D"/>
    <w:rsid w:val="002179AF"/>
    <w:rsid w:val="00222636"/>
    <w:rsid w:val="00222ECB"/>
    <w:rsid w:val="00225776"/>
    <w:rsid w:val="002332D4"/>
    <w:rsid w:val="002351C7"/>
    <w:rsid w:val="00236405"/>
    <w:rsid w:val="002368D0"/>
    <w:rsid w:val="002371D2"/>
    <w:rsid w:val="002423EC"/>
    <w:rsid w:val="0025264E"/>
    <w:rsid w:val="00254FE9"/>
    <w:rsid w:val="0025586E"/>
    <w:rsid w:val="00260543"/>
    <w:rsid w:val="0026065A"/>
    <w:rsid w:val="0026323A"/>
    <w:rsid w:val="00264860"/>
    <w:rsid w:val="002712FC"/>
    <w:rsid w:val="0027254B"/>
    <w:rsid w:val="00275677"/>
    <w:rsid w:val="002769E3"/>
    <w:rsid w:val="00280C80"/>
    <w:rsid w:val="00283212"/>
    <w:rsid w:val="00283681"/>
    <w:rsid w:val="002846CB"/>
    <w:rsid w:val="00290D7F"/>
    <w:rsid w:val="002932B8"/>
    <w:rsid w:val="002943E0"/>
    <w:rsid w:val="0029533D"/>
    <w:rsid w:val="00295622"/>
    <w:rsid w:val="00295E4D"/>
    <w:rsid w:val="00296264"/>
    <w:rsid w:val="002A2151"/>
    <w:rsid w:val="002B01EC"/>
    <w:rsid w:val="002B4030"/>
    <w:rsid w:val="002B4E5A"/>
    <w:rsid w:val="002C0BE8"/>
    <w:rsid w:val="002C0F5D"/>
    <w:rsid w:val="002C1D51"/>
    <w:rsid w:val="002C2EBF"/>
    <w:rsid w:val="002C5346"/>
    <w:rsid w:val="002D0244"/>
    <w:rsid w:val="002D2A1C"/>
    <w:rsid w:val="002D2F45"/>
    <w:rsid w:val="002D4016"/>
    <w:rsid w:val="002D60D8"/>
    <w:rsid w:val="002D67E7"/>
    <w:rsid w:val="002E0EDA"/>
    <w:rsid w:val="002E2DD4"/>
    <w:rsid w:val="002F029A"/>
    <w:rsid w:val="002F162D"/>
    <w:rsid w:val="002F2FEF"/>
    <w:rsid w:val="002F44B9"/>
    <w:rsid w:val="00304EFB"/>
    <w:rsid w:val="0031297F"/>
    <w:rsid w:val="003130EB"/>
    <w:rsid w:val="00320A46"/>
    <w:rsid w:val="00321399"/>
    <w:rsid w:val="0032227C"/>
    <w:rsid w:val="00323760"/>
    <w:rsid w:val="00327661"/>
    <w:rsid w:val="00327C1C"/>
    <w:rsid w:val="00330D2D"/>
    <w:rsid w:val="00331850"/>
    <w:rsid w:val="003326A9"/>
    <w:rsid w:val="003326E6"/>
    <w:rsid w:val="003332E3"/>
    <w:rsid w:val="003373B2"/>
    <w:rsid w:val="003407D5"/>
    <w:rsid w:val="00342B17"/>
    <w:rsid w:val="003446F9"/>
    <w:rsid w:val="00360251"/>
    <w:rsid w:val="003613CD"/>
    <w:rsid w:val="0036427F"/>
    <w:rsid w:val="00372A37"/>
    <w:rsid w:val="00374CD3"/>
    <w:rsid w:val="0037766D"/>
    <w:rsid w:val="0038047D"/>
    <w:rsid w:val="00387963"/>
    <w:rsid w:val="00393DEF"/>
    <w:rsid w:val="00394DB6"/>
    <w:rsid w:val="003A01FB"/>
    <w:rsid w:val="003A656A"/>
    <w:rsid w:val="003A7A9B"/>
    <w:rsid w:val="003B5E19"/>
    <w:rsid w:val="003C07A2"/>
    <w:rsid w:val="003C1F95"/>
    <w:rsid w:val="003D35B3"/>
    <w:rsid w:val="003D4682"/>
    <w:rsid w:val="003D548B"/>
    <w:rsid w:val="003D7317"/>
    <w:rsid w:val="003E0815"/>
    <w:rsid w:val="003E42F2"/>
    <w:rsid w:val="003E53BF"/>
    <w:rsid w:val="003F3A7E"/>
    <w:rsid w:val="003F3AC3"/>
    <w:rsid w:val="0040526E"/>
    <w:rsid w:val="00411517"/>
    <w:rsid w:val="0041225A"/>
    <w:rsid w:val="00413D58"/>
    <w:rsid w:val="004154AA"/>
    <w:rsid w:val="0041598F"/>
    <w:rsid w:val="00415B51"/>
    <w:rsid w:val="00415DDD"/>
    <w:rsid w:val="00417137"/>
    <w:rsid w:val="004211D3"/>
    <w:rsid w:val="00424330"/>
    <w:rsid w:val="00424F12"/>
    <w:rsid w:val="00426630"/>
    <w:rsid w:val="0043066B"/>
    <w:rsid w:val="0043301B"/>
    <w:rsid w:val="00436BD4"/>
    <w:rsid w:val="00437BF9"/>
    <w:rsid w:val="00441DF8"/>
    <w:rsid w:val="0044287D"/>
    <w:rsid w:val="00443DA9"/>
    <w:rsid w:val="0044562C"/>
    <w:rsid w:val="00445C43"/>
    <w:rsid w:val="00446FF9"/>
    <w:rsid w:val="00457143"/>
    <w:rsid w:val="0046598D"/>
    <w:rsid w:val="0047550C"/>
    <w:rsid w:val="0048074A"/>
    <w:rsid w:val="00491AA3"/>
    <w:rsid w:val="00494AA4"/>
    <w:rsid w:val="0049723C"/>
    <w:rsid w:val="004A5A6B"/>
    <w:rsid w:val="004B099A"/>
    <w:rsid w:val="004B1A54"/>
    <w:rsid w:val="004B2F0F"/>
    <w:rsid w:val="004B53C2"/>
    <w:rsid w:val="004C368E"/>
    <w:rsid w:val="004C4C90"/>
    <w:rsid w:val="004D1A9C"/>
    <w:rsid w:val="004D2AF7"/>
    <w:rsid w:val="004D6BA7"/>
    <w:rsid w:val="004D721C"/>
    <w:rsid w:val="004E05F6"/>
    <w:rsid w:val="004E229F"/>
    <w:rsid w:val="004E26F1"/>
    <w:rsid w:val="004E4FC0"/>
    <w:rsid w:val="004E55F7"/>
    <w:rsid w:val="004E58A2"/>
    <w:rsid w:val="004E73C3"/>
    <w:rsid w:val="004E76A9"/>
    <w:rsid w:val="004F6275"/>
    <w:rsid w:val="00502FFA"/>
    <w:rsid w:val="00503980"/>
    <w:rsid w:val="00503AE2"/>
    <w:rsid w:val="005102DD"/>
    <w:rsid w:val="00517B24"/>
    <w:rsid w:val="005203F3"/>
    <w:rsid w:val="00523A0C"/>
    <w:rsid w:val="00523CE6"/>
    <w:rsid w:val="00525A33"/>
    <w:rsid w:val="00525B94"/>
    <w:rsid w:val="00531368"/>
    <w:rsid w:val="00534E16"/>
    <w:rsid w:val="00536BE1"/>
    <w:rsid w:val="005379F5"/>
    <w:rsid w:val="00541606"/>
    <w:rsid w:val="005429CF"/>
    <w:rsid w:val="00542C49"/>
    <w:rsid w:val="00544484"/>
    <w:rsid w:val="0054704D"/>
    <w:rsid w:val="005479E1"/>
    <w:rsid w:val="00550545"/>
    <w:rsid w:val="00551440"/>
    <w:rsid w:val="00552E1E"/>
    <w:rsid w:val="005532A9"/>
    <w:rsid w:val="00562CCE"/>
    <w:rsid w:val="00563F38"/>
    <w:rsid w:val="00564912"/>
    <w:rsid w:val="0056559F"/>
    <w:rsid w:val="005656D2"/>
    <w:rsid w:val="00570355"/>
    <w:rsid w:val="005779E7"/>
    <w:rsid w:val="005841AB"/>
    <w:rsid w:val="0058533A"/>
    <w:rsid w:val="005871BB"/>
    <w:rsid w:val="00595092"/>
    <w:rsid w:val="005967D3"/>
    <w:rsid w:val="005A291D"/>
    <w:rsid w:val="005A48A8"/>
    <w:rsid w:val="005A5D67"/>
    <w:rsid w:val="005A7964"/>
    <w:rsid w:val="005B2434"/>
    <w:rsid w:val="005B438D"/>
    <w:rsid w:val="005B5308"/>
    <w:rsid w:val="005B674E"/>
    <w:rsid w:val="005C049B"/>
    <w:rsid w:val="005C7E82"/>
    <w:rsid w:val="005D037E"/>
    <w:rsid w:val="005D0988"/>
    <w:rsid w:val="005D2CDC"/>
    <w:rsid w:val="005D4A2A"/>
    <w:rsid w:val="005D78D1"/>
    <w:rsid w:val="005E1C9B"/>
    <w:rsid w:val="005E2EDE"/>
    <w:rsid w:val="005E3216"/>
    <w:rsid w:val="005F19F4"/>
    <w:rsid w:val="005F292F"/>
    <w:rsid w:val="005F58B1"/>
    <w:rsid w:val="0060337E"/>
    <w:rsid w:val="0060471F"/>
    <w:rsid w:val="006054A0"/>
    <w:rsid w:val="00605D97"/>
    <w:rsid w:val="00605E08"/>
    <w:rsid w:val="00606304"/>
    <w:rsid w:val="00606F08"/>
    <w:rsid w:val="006113BB"/>
    <w:rsid w:val="006124FD"/>
    <w:rsid w:val="006135C2"/>
    <w:rsid w:val="0061464B"/>
    <w:rsid w:val="006151D5"/>
    <w:rsid w:val="006263A3"/>
    <w:rsid w:val="00631BFF"/>
    <w:rsid w:val="00632FBB"/>
    <w:rsid w:val="00635372"/>
    <w:rsid w:val="00646DCA"/>
    <w:rsid w:val="00646E08"/>
    <w:rsid w:val="00647CC4"/>
    <w:rsid w:val="00650687"/>
    <w:rsid w:val="00652477"/>
    <w:rsid w:val="00653CB1"/>
    <w:rsid w:val="0066506D"/>
    <w:rsid w:val="00665905"/>
    <w:rsid w:val="00666A29"/>
    <w:rsid w:val="006719A3"/>
    <w:rsid w:val="006719EE"/>
    <w:rsid w:val="00673732"/>
    <w:rsid w:val="00673BCD"/>
    <w:rsid w:val="00673E7E"/>
    <w:rsid w:val="00674313"/>
    <w:rsid w:val="0067796B"/>
    <w:rsid w:val="00680FF7"/>
    <w:rsid w:val="00683506"/>
    <w:rsid w:val="00691E60"/>
    <w:rsid w:val="0069385F"/>
    <w:rsid w:val="006A3E84"/>
    <w:rsid w:val="006B1805"/>
    <w:rsid w:val="006B2B77"/>
    <w:rsid w:val="006B4881"/>
    <w:rsid w:val="006B5622"/>
    <w:rsid w:val="006B6357"/>
    <w:rsid w:val="006B6B00"/>
    <w:rsid w:val="006C0BC5"/>
    <w:rsid w:val="006C2AA5"/>
    <w:rsid w:val="006C3295"/>
    <w:rsid w:val="006D0A90"/>
    <w:rsid w:val="006D1101"/>
    <w:rsid w:val="006D1D5B"/>
    <w:rsid w:val="006D7737"/>
    <w:rsid w:val="006E5270"/>
    <w:rsid w:val="006E5A6F"/>
    <w:rsid w:val="006E60DF"/>
    <w:rsid w:val="006E6C1A"/>
    <w:rsid w:val="006E759C"/>
    <w:rsid w:val="006F4342"/>
    <w:rsid w:val="006F5C8C"/>
    <w:rsid w:val="006F5EF7"/>
    <w:rsid w:val="00701F86"/>
    <w:rsid w:val="00703904"/>
    <w:rsid w:val="00706080"/>
    <w:rsid w:val="007110DA"/>
    <w:rsid w:val="0071296E"/>
    <w:rsid w:val="00713D36"/>
    <w:rsid w:val="00714532"/>
    <w:rsid w:val="007204EB"/>
    <w:rsid w:val="0072183F"/>
    <w:rsid w:val="00723CCB"/>
    <w:rsid w:val="007263A5"/>
    <w:rsid w:val="00726EAD"/>
    <w:rsid w:val="007315A8"/>
    <w:rsid w:val="00732A0C"/>
    <w:rsid w:val="00736228"/>
    <w:rsid w:val="0073696E"/>
    <w:rsid w:val="0074039C"/>
    <w:rsid w:val="0075319C"/>
    <w:rsid w:val="007538B9"/>
    <w:rsid w:val="00754801"/>
    <w:rsid w:val="007665B9"/>
    <w:rsid w:val="00770CE8"/>
    <w:rsid w:val="00776FA5"/>
    <w:rsid w:val="00777255"/>
    <w:rsid w:val="00783476"/>
    <w:rsid w:val="00785754"/>
    <w:rsid w:val="007858B2"/>
    <w:rsid w:val="00785B51"/>
    <w:rsid w:val="00786450"/>
    <w:rsid w:val="007A08BD"/>
    <w:rsid w:val="007A1CAE"/>
    <w:rsid w:val="007A37DD"/>
    <w:rsid w:val="007A4431"/>
    <w:rsid w:val="007A5340"/>
    <w:rsid w:val="007A5478"/>
    <w:rsid w:val="007A6D5A"/>
    <w:rsid w:val="007B25EB"/>
    <w:rsid w:val="007B2EC5"/>
    <w:rsid w:val="007C10B6"/>
    <w:rsid w:val="007C36C3"/>
    <w:rsid w:val="007C4C23"/>
    <w:rsid w:val="007C4C93"/>
    <w:rsid w:val="007C508E"/>
    <w:rsid w:val="007C5469"/>
    <w:rsid w:val="007C68FE"/>
    <w:rsid w:val="007D37F1"/>
    <w:rsid w:val="007D64C5"/>
    <w:rsid w:val="007E0F83"/>
    <w:rsid w:val="007E564A"/>
    <w:rsid w:val="007E5C99"/>
    <w:rsid w:val="007E6197"/>
    <w:rsid w:val="007F3143"/>
    <w:rsid w:val="007F6EA0"/>
    <w:rsid w:val="008003A3"/>
    <w:rsid w:val="00800C35"/>
    <w:rsid w:val="00805283"/>
    <w:rsid w:val="00807B65"/>
    <w:rsid w:val="0081079B"/>
    <w:rsid w:val="00810C9D"/>
    <w:rsid w:val="00811114"/>
    <w:rsid w:val="008128C2"/>
    <w:rsid w:val="00816570"/>
    <w:rsid w:val="00817486"/>
    <w:rsid w:val="00824294"/>
    <w:rsid w:val="008558AE"/>
    <w:rsid w:val="00861939"/>
    <w:rsid w:val="008666FE"/>
    <w:rsid w:val="008675AA"/>
    <w:rsid w:val="008708B6"/>
    <w:rsid w:val="008722F0"/>
    <w:rsid w:val="0088038A"/>
    <w:rsid w:val="00880607"/>
    <w:rsid w:val="00881646"/>
    <w:rsid w:val="00884FD1"/>
    <w:rsid w:val="00891F22"/>
    <w:rsid w:val="00896613"/>
    <w:rsid w:val="008971FF"/>
    <w:rsid w:val="008A4C0A"/>
    <w:rsid w:val="008A5BCB"/>
    <w:rsid w:val="008A6869"/>
    <w:rsid w:val="008A6C91"/>
    <w:rsid w:val="008B13B0"/>
    <w:rsid w:val="008B39E4"/>
    <w:rsid w:val="008C3ADB"/>
    <w:rsid w:val="008C46E6"/>
    <w:rsid w:val="008C51AD"/>
    <w:rsid w:val="008C5BEF"/>
    <w:rsid w:val="008C707D"/>
    <w:rsid w:val="008D5074"/>
    <w:rsid w:val="008D7135"/>
    <w:rsid w:val="008E1AA1"/>
    <w:rsid w:val="008E2FA2"/>
    <w:rsid w:val="008E31D8"/>
    <w:rsid w:val="008E4F28"/>
    <w:rsid w:val="008F0DD6"/>
    <w:rsid w:val="008F17BC"/>
    <w:rsid w:val="008F5F72"/>
    <w:rsid w:val="008F75D4"/>
    <w:rsid w:val="00903E05"/>
    <w:rsid w:val="00904581"/>
    <w:rsid w:val="00907917"/>
    <w:rsid w:val="00910185"/>
    <w:rsid w:val="0091315C"/>
    <w:rsid w:val="00915151"/>
    <w:rsid w:val="00916A39"/>
    <w:rsid w:val="00921CAC"/>
    <w:rsid w:val="00922124"/>
    <w:rsid w:val="009237E7"/>
    <w:rsid w:val="0092407B"/>
    <w:rsid w:val="00930837"/>
    <w:rsid w:val="00931361"/>
    <w:rsid w:val="009334DB"/>
    <w:rsid w:val="0094779E"/>
    <w:rsid w:val="00947B58"/>
    <w:rsid w:val="00947F2B"/>
    <w:rsid w:val="00950C01"/>
    <w:rsid w:val="00950FC1"/>
    <w:rsid w:val="00953656"/>
    <w:rsid w:val="00961310"/>
    <w:rsid w:val="00964D6B"/>
    <w:rsid w:val="009674F3"/>
    <w:rsid w:val="00975E73"/>
    <w:rsid w:val="0098064B"/>
    <w:rsid w:val="00985014"/>
    <w:rsid w:val="00987CBB"/>
    <w:rsid w:val="009A24BA"/>
    <w:rsid w:val="009A5875"/>
    <w:rsid w:val="009A60D3"/>
    <w:rsid w:val="009A796B"/>
    <w:rsid w:val="009B0EB4"/>
    <w:rsid w:val="009C1390"/>
    <w:rsid w:val="009C40B3"/>
    <w:rsid w:val="009C6A77"/>
    <w:rsid w:val="009D04FA"/>
    <w:rsid w:val="009D1F13"/>
    <w:rsid w:val="009D6466"/>
    <w:rsid w:val="009E13A5"/>
    <w:rsid w:val="009E21BA"/>
    <w:rsid w:val="009E58DC"/>
    <w:rsid w:val="009E5BDB"/>
    <w:rsid w:val="009E6ED1"/>
    <w:rsid w:val="009F2E32"/>
    <w:rsid w:val="009F3397"/>
    <w:rsid w:val="009F347A"/>
    <w:rsid w:val="009F470A"/>
    <w:rsid w:val="009F5CCD"/>
    <w:rsid w:val="00A02312"/>
    <w:rsid w:val="00A054ED"/>
    <w:rsid w:val="00A125A0"/>
    <w:rsid w:val="00A12B3D"/>
    <w:rsid w:val="00A15E89"/>
    <w:rsid w:val="00A165E2"/>
    <w:rsid w:val="00A20BE6"/>
    <w:rsid w:val="00A22705"/>
    <w:rsid w:val="00A4004B"/>
    <w:rsid w:val="00A43096"/>
    <w:rsid w:val="00A50C09"/>
    <w:rsid w:val="00A515C3"/>
    <w:rsid w:val="00A562D3"/>
    <w:rsid w:val="00A611A5"/>
    <w:rsid w:val="00A62BFC"/>
    <w:rsid w:val="00A67406"/>
    <w:rsid w:val="00A72085"/>
    <w:rsid w:val="00A726BC"/>
    <w:rsid w:val="00A73246"/>
    <w:rsid w:val="00A774FB"/>
    <w:rsid w:val="00A81091"/>
    <w:rsid w:val="00A836DC"/>
    <w:rsid w:val="00A85DDD"/>
    <w:rsid w:val="00A860D9"/>
    <w:rsid w:val="00A90CD4"/>
    <w:rsid w:val="00A91741"/>
    <w:rsid w:val="00A92DF6"/>
    <w:rsid w:val="00AA20BA"/>
    <w:rsid w:val="00AB3009"/>
    <w:rsid w:val="00AB6CC2"/>
    <w:rsid w:val="00AC422F"/>
    <w:rsid w:val="00AC4645"/>
    <w:rsid w:val="00AD577C"/>
    <w:rsid w:val="00AE4A59"/>
    <w:rsid w:val="00AE6A09"/>
    <w:rsid w:val="00B03989"/>
    <w:rsid w:val="00B05DE7"/>
    <w:rsid w:val="00B11D82"/>
    <w:rsid w:val="00B1228B"/>
    <w:rsid w:val="00B241EE"/>
    <w:rsid w:val="00B2585B"/>
    <w:rsid w:val="00B25989"/>
    <w:rsid w:val="00B25ED4"/>
    <w:rsid w:val="00B31093"/>
    <w:rsid w:val="00B33C1A"/>
    <w:rsid w:val="00B344EB"/>
    <w:rsid w:val="00B34B4D"/>
    <w:rsid w:val="00B46C39"/>
    <w:rsid w:val="00B510C8"/>
    <w:rsid w:val="00B5113D"/>
    <w:rsid w:val="00B53665"/>
    <w:rsid w:val="00B5644E"/>
    <w:rsid w:val="00B56926"/>
    <w:rsid w:val="00B5698C"/>
    <w:rsid w:val="00B60026"/>
    <w:rsid w:val="00B753B4"/>
    <w:rsid w:val="00B95BFF"/>
    <w:rsid w:val="00B96143"/>
    <w:rsid w:val="00BA7666"/>
    <w:rsid w:val="00BB0E70"/>
    <w:rsid w:val="00BC2510"/>
    <w:rsid w:val="00BC25B7"/>
    <w:rsid w:val="00BC40FD"/>
    <w:rsid w:val="00BC4256"/>
    <w:rsid w:val="00BD0D9C"/>
    <w:rsid w:val="00BD60AE"/>
    <w:rsid w:val="00BE260C"/>
    <w:rsid w:val="00BE72C2"/>
    <w:rsid w:val="00BF1857"/>
    <w:rsid w:val="00BF3943"/>
    <w:rsid w:val="00C00E8F"/>
    <w:rsid w:val="00C02E1B"/>
    <w:rsid w:val="00C03564"/>
    <w:rsid w:val="00C04C7E"/>
    <w:rsid w:val="00C04DA4"/>
    <w:rsid w:val="00C065D0"/>
    <w:rsid w:val="00C13CD7"/>
    <w:rsid w:val="00C15015"/>
    <w:rsid w:val="00C17A0D"/>
    <w:rsid w:val="00C2277F"/>
    <w:rsid w:val="00C2315C"/>
    <w:rsid w:val="00C23A83"/>
    <w:rsid w:val="00C2412F"/>
    <w:rsid w:val="00C34B58"/>
    <w:rsid w:val="00C37B23"/>
    <w:rsid w:val="00C41130"/>
    <w:rsid w:val="00C45089"/>
    <w:rsid w:val="00C523BB"/>
    <w:rsid w:val="00C5572B"/>
    <w:rsid w:val="00C55FCD"/>
    <w:rsid w:val="00C6242D"/>
    <w:rsid w:val="00C63EE0"/>
    <w:rsid w:val="00C655F3"/>
    <w:rsid w:val="00C66B5B"/>
    <w:rsid w:val="00C673AA"/>
    <w:rsid w:val="00C71868"/>
    <w:rsid w:val="00C71DA4"/>
    <w:rsid w:val="00C74AF3"/>
    <w:rsid w:val="00C81873"/>
    <w:rsid w:val="00C8518F"/>
    <w:rsid w:val="00C860ED"/>
    <w:rsid w:val="00C92983"/>
    <w:rsid w:val="00C92B90"/>
    <w:rsid w:val="00C96C98"/>
    <w:rsid w:val="00CA0266"/>
    <w:rsid w:val="00CA39CC"/>
    <w:rsid w:val="00CA5E06"/>
    <w:rsid w:val="00CA60EB"/>
    <w:rsid w:val="00CC2055"/>
    <w:rsid w:val="00CC6A78"/>
    <w:rsid w:val="00CD37B1"/>
    <w:rsid w:val="00CD6A4D"/>
    <w:rsid w:val="00CE4286"/>
    <w:rsid w:val="00CF1D80"/>
    <w:rsid w:val="00D01284"/>
    <w:rsid w:val="00D033BB"/>
    <w:rsid w:val="00D0428F"/>
    <w:rsid w:val="00D05FB0"/>
    <w:rsid w:val="00D0622F"/>
    <w:rsid w:val="00D11FE5"/>
    <w:rsid w:val="00D13CA9"/>
    <w:rsid w:val="00D16F57"/>
    <w:rsid w:val="00D170C9"/>
    <w:rsid w:val="00D17813"/>
    <w:rsid w:val="00D24D22"/>
    <w:rsid w:val="00D24F9C"/>
    <w:rsid w:val="00D27324"/>
    <w:rsid w:val="00D27E9D"/>
    <w:rsid w:val="00D32920"/>
    <w:rsid w:val="00D37AF0"/>
    <w:rsid w:val="00D42661"/>
    <w:rsid w:val="00D5016A"/>
    <w:rsid w:val="00D5073F"/>
    <w:rsid w:val="00D5146F"/>
    <w:rsid w:val="00D55AE9"/>
    <w:rsid w:val="00D607B0"/>
    <w:rsid w:val="00D61B5B"/>
    <w:rsid w:val="00D61D4F"/>
    <w:rsid w:val="00D671A5"/>
    <w:rsid w:val="00D72ED9"/>
    <w:rsid w:val="00D81FD4"/>
    <w:rsid w:val="00D835DF"/>
    <w:rsid w:val="00D8379B"/>
    <w:rsid w:val="00D95B78"/>
    <w:rsid w:val="00DA00BD"/>
    <w:rsid w:val="00DA1F69"/>
    <w:rsid w:val="00DA3320"/>
    <w:rsid w:val="00DA750E"/>
    <w:rsid w:val="00DB015D"/>
    <w:rsid w:val="00DB6866"/>
    <w:rsid w:val="00DC0F1B"/>
    <w:rsid w:val="00DC3E78"/>
    <w:rsid w:val="00DC5948"/>
    <w:rsid w:val="00DD57D5"/>
    <w:rsid w:val="00DD67DF"/>
    <w:rsid w:val="00DD6FA7"/>
    <w:rsid w:val="00DE136E"/>
    <w:rsid w:val="00E03A1E"/>
    <w:rsid w:val="00E05204"/>
    <w:rsid w:val="00E05A57"/>
    <w:rsid w:val="00E13ABD"/>
    <w:rsid w:val="00E143FB"/>
    <w:rsid w:val="00E14487"/>
    <w:rsid w:val="00E15E02"/>
    <w:rsid w:val="00E175C0"/>
    <w:rsid w:val="00E2174D"/>
    <w:rsid w:val="00E239FC"/>
    <w:rsid w:val="00E25398"/>
    <w:rsid w:val="00E258BE"/>
    <w:rsid w:val="00E26934"/>
    <w:rsid w:val="00E27980"/>
    <w:rsid w:val="00E27A60"/>
    <w:rsid w:val="00E334B1"/>
    <w:rsid w:val="00E3397F"/>
    <w:rsid w:val="00E33ADA"/>
    <w:rsid w:val="00E35797"/>
    <w:rsid w:val="00E36FEC"/>
    <w:rsid w:val="00E37AE0"/>
    <w:rsid w:val="00E43BCE"/>
    <w:rsid w:val="00E44B94"/>
    <w:rsid w:val="00E4636F"/>
    <w:rsid w:val="00E50B47"/>
    <w:rsid w:val="00E6212E"/>
    <w:rsid w:val="00E63C4C"/>
    <w:rsid w:val="00E679EE"/>
    <w:rsid w:val="00E67DBC"/>
    <w:rsid w:val="00E70274"/>
    <w:rsid w:val="00E71439"/>
    <w:rsid w:val="00E76659"/>
    <w:rsid w:val="00E77065"/>
    <w:rsid w:val="00E77B8E"/>
    <w:rsid w:val="00E92DE5"/>
    <w:rsid w:val="00E95BD4"/>
    <w:rsid w:val="00EA1B60"/>
    <w:rsid w:val="00EA1BA3"/>
    <w:rsid w:val="00EA2A57"/>
    <w:rsid w:val="00EA3429"/>
    <w:rsid w:val="00EA3EAE"/>
    <w:rsid w:val="00EA4417"/>
    <w:rsid w:val="00EA7A1B"/>
    <w:rsid w:val="00EB42FB"/>
    <w:rsid w:val="00EB43CA"/>
    <w:rsid w:val="00EB7EDB"/>
    <w:rsid w:val="00EC0544"/>
    <w:rsid w:val="00EC4366"/>
    <w:rsid w:val="00EC6D9B"/>
    <w:rsid w:val="00EC6F26"/>
    <w:rsid w:val="00ED0209"/>
    <w:rsid w:val="00ED1896"/>
    <w:rsid w:val="00ED465C"/>
    <w:rsid w:val="00ED6A56"/>
    <w:rsid w:val="00EE2276"/>
    <w:rsid w:val="00EE5766"/>
    <w:rsid w:val="00EE5BBB"/>
    <w:rsid w:val="00EE62D8"/>
    <w:rsid w:val="00EE77E0"/>
    <w:rsid w:val="00EF42FB"/>
    <w:rsid w:val="00EF5151"/>
    <w:rsid w:val="00EF6A3D"/>
    <w:rsid w:val="00F02D22"/>
    <w:rsid w:val="00F10C25"/>
    <w:rsid w:val="00F12011"/>
    <w:rsid w:val="00F12B92"/>
    <w:rsid w:val="00F13D24"/>
    <w:rsid w:val="00F1499B"/>
    <w:rsid w:val="00F17BA2"/>
    <w:rsid w:val="00F245C3"/>
    <w:rsid w:val="00F342B9"/>
    <w:rsid w:val="00F3649B"/>
    <w:rsid w:val="00F365AF"/>
    <w:rsid w:val="00F3697C"/>
    <w:rsid w:val="00F3725B"/>
    <w:rsid w:val="00F4056E"/>
    <w:rsid w:val="00F45642"/>
    <w:rsid w:val="00F46254"/>
    <w:rsid w:val="00F50CE7"/>
    <w:rsid w:val="00F53642"/>
    <w:rsid w:val="00F55704"/>
    <w:rsid w:val="00F55FAF"/>
    <w:rsid w:val="00F604F9"/>
    <w:rsid w:val="00F60C89"/>
    <w:rsid w:val="00F63D78"/>
    <w:rsid w:val="00F63FC3"/>
    <w:rsid w:val="00F67647"/>
    <w:rsid w:val="00F750F2"/>
    <w:rsid w:val="00F75B2A"/>
    <w:rsid w:val="00F75B9C"/>
    <w:rsid w:val="00F7684D"/>
    <w:rsid w:val="00F775F5"/>
    <w:rsid w:val="00F825A5"/>
    <w:rsid w:val="00F851C9"/>
    <w:rsid w:val="00F86573"/>
    <w:rsid w:val="00F943BC"/>
    <w:rsid w:val="00F953C7"/>
    <w:rsid w:val="00F96016"/>
    <w:rsid w:val="00FB447B"/>
    <w:rsid w:val="00FB7520"/>
    <w:rsid w:val="00FC22F2"/>
    <w:rsid w:val="00FC23F3"/>
    <w:rsid w:val="00FC77DA"/>
    <w:rsid w:val="00FD24BC"/>
    <w:rsid w:val="00FD2798"/>
    <w:rsid w:val="00FD5765"/>
    <w:rsid w:val="00FE19AA"/>
    <w:rsid w:val="00FE1C2B"/>
    <w:rsid w:val="00FE2CA7"/>
    <w:rsid w:val="00FE57B1"/>
    <w:rsid w:val="00FE68BE"/>
    <w:rsid w:val="00FE6C16"/>
    <w:rsid w:val="00FF41C0"/>
    <w:rsid w:val="00FF5A00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45F"/>
  </w:style>
  <w:style w:type="paragraph" w:styleId="Titolo1">
    <w:name w:val="heading 1"/>
    <w:basedOn w:val="Normale"/>
    <w:next w:val="Normale"/>
    <w:link w:val="Titolo1Carattere"/>
    <w:uiPriority w:val="9"/>
    <w:qFormat/>
    <w:rsid w:val="00327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F45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3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03AE2"/>
  </w:style>
  <w:style w:type="paragraph" w:styleId="Pidipagina">
    <w:name w:val="footer"/>
    <w:basedOn w:val="Normale"/>
    <w:link w:val="PidipaginaCarattere"/>
    <w:uiPriority w:val="99"/>
    <w:unhideWhenUsed/>
    <w:rsid w:val="00503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03A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03AE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95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5">
    <w:name w:val="Light Shading Accent 5"/>
    <w:basedOn w:val="Tabellanormale"/>
    <w:uiPriority w:val="60"/>
    <w:rsid w:val="00A7208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Paragrafoelenco">
    <w:name w:val="List Paragraph"/>
    <w:basedOn w:val="Normale"/>
    <w:uiPriority w:val="34"/>
    <w:qFormat/>
    <w:rsid w:val="00525B94"/>
    <w:pPr>
      <w:ind w:left="720"/>
      <w:contextualSpacing/>
    </w:pPr>
  </w:style>
  <w:style w:type="character" w:customStyle="1" w:styleId="Titolo2Carattere">
    <w:name w:val="Titolo 2 Carattere"/>
    <w:basedOn w:val="Caratterepredefinitoparagrafo"/>
    <w:link w:val="Titolo2"/>
    <w:uiPriority w:val="9"/>
    <w:rsid w:val="00F4564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atterepredefinitoparagrafo"/>
    <w:uiPriority w:val="22"/>
    <w:qFormat/>
    <w:rsid w:val="00F45642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F45642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F4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3D35B3"/>
    <w:rPr>
      <w:color w:val="0000FF" w:themeColor="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27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3276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45F"/>
  </w:style>
  <w:style w:type="paragraph" w:styleId="Titolo1">
    <w:name w:val="heading 1"/>
    <w:basedOn w:val="Normale"/>
    <w:next w:val="Normale"/>
    <w:link w:val="Titolo1Carattere"/>
    <w:uiPriority w:val="9"/>
    <w:qFormat/>
    <w:rsid w:val="00327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F45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3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03AE2"/>
  </w:style>
  <w:style w:type="paragraph" w:styleId="Pidipagina">
    <w:name w:val="footer"/>
    <w:basedOn w:val="Normale"/>
    <w:link w:val="PidipaginaCarattere"/>
    <w:uiPriority w:val="99"/>
    <w:unhideWhenUsed/>
    <w:rsid w:val="00503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03A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03AE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95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5">
    <w:name w:val="Light Shading Accent 5"/>
    <w:basedOn w:val="Tabellanormale"/>
    <w:uiPriority w:val="60"/>
    <w:rsid w:val="00A7208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Paragrafoelenco">
    <w:name w:val="List Paragraph"/>
    <w:basedOn w:val="Normale"/>
    <w:uiPriority w:val="34"/>
    <w:qFormat/>
    <w:rsid w:val="00525B94"/>
    <w:pPr>
      <w:ind w:left="720"/>
      <w:contextualSpacing/>
    </w:pPr>
  </w:style>
  <w:style w:type="character" w:customStyle="1" w:styleId="Titolo2Carattere">
    <w:name w:val="Titolo 2 Carattere"/>
    <w:basedOn w:val="Caratterepredefinitoparagrafo"/>
    <w:link w:val="Titolo2"/>
    <w:uiPriority w:val="9"/>
    <w:rsid w:val="00F4564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atterepredefinitoparagrafo"/>
    <w:uiPriority w:val="22"/>
    <w:qFormat/>
    <w:rsid w:val="00F45642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F45642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F4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3D35B3"/>
    <w:rPr>
      <w:color w:val="0000FF" w:themeColor="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27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327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emf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hyperlink" Target="http://www.unioncamerepuglia.it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hart" Target="charts/chart1.xml"/><Relationship Id="rId10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ente\Desktop\Sismografo%202020%20vs%202021\registrate%20puglia%20serie%20storich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ente\Desktop\Sismografo%202020%20vs%202021\Sedi%20di%20Impresa%20PUGLI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dLbl>
              <c:idx val="2"/>
              <c:layout>
                <c:manualLayout>
                  <c:x val="-0.0757158988173528"/>
                  <c:y val="-0.065923495187989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0475598372159643"/>
                  <c:y val="-0.092657594203773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0406386066763426"/>
                  <c:y val="0.046296296296296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0861937566649577"/>
                  <c:y val="-0.0663145362855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0679751452045248"/>
                  <c:y val="-0.065923495187989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0"/>
                  <c:y val="-0.05157797266657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Report!$A$5:$A$12</c:f>
              <c:strCache>
                <c:ptCount val="8"/>
                <c:pt idx="0">
                  <c:v>I 2019</c:v>
                </c:pt>
                <c:pt idx="1">
                  <c:v>II 2019</c:v>
                </c:pt>
                <c:pt idx="2">
                  <c:v>III 2019</c:v>
                </c:pt>
                <c:pt idx="3">
                  <c:v>IV 2019</c:v>
                </c:pt>
                <c:pt idx="4">
                  <c:v>I 2020</c:v>
                </c:pt>
                <c:pt idx="5">
                  <c:v>II 2020</c:v>
                </c:pt>
                <c:pt idx="6">
                  <c:v>III 2020</c:v>
                </c:pt>
                <c:pt idx="7">
                  <c:v>IV 2020</c:v>
                </c:pt>
              </c:strCache>
            </c:strRef>
          </c:cat>
          <c:val>
            <c:numRef>
              <c:f>Report!$B$5:$B$12</c:f>
              <c:numCache>
                <c:formatCode>#,##0</c:formatCode>
                <c:ptCount val="8"/>
                <c:pt idx="0">
                  <c:v>379490.0</c:v>
                </c:pt>
                <c:pt idx="1">
                  <c:v>380195.0</c:v>
                </c:pt>
                <c:pt idx="2">
                  <c:v>381088.0</c:v>
                </c:pt>
                <c:pt idx="3">
                  <c:v>381313.0</c:v>
                </c:pt>
                <c:pt idx="4">
                  <c:v>379610.0</c:v>
                </c:pt>
                <c:pt idx="5">
                  <c:v>381352.0</c:v>
                </c:pt>
                <c:pt idx="6">
                  <c:v>382482.0</c:v>
                </c:pt>
                <c:pt idx="7">
                  <c:v>382535.0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00166664"/>
        <c:axId val="-2090018984"/>
      </c:lineChart>
      <c:catAx>
        <c:axId val="2100166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it-IT"/>
          </a:p>
        </c:txPr>
        <c:crossAx val="-2090018984"/>
        <c:crosses val="autoZero"/>
        <c:auto val="1"/>
        <c:lblAlgn val="ctr"/>
        <c:lblOffset val="100"/>
        <c:noMultiLvlLbl val="0"/>
      </c:catAx>
      <c:valAx>
        <c:axId val="-2090018984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one"/>
        <c:crossAx val="21001666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Report!$B$48</c:f>
              <c:strCache>
                <c:ptCount val="1"/>
                <c:pt idx="0">
                  <c:v>Iscrizioni</c:v>
                </c:pt>
              </c:strCache>
            </c:strRef>
          </c:tx>
          <c:invertIfNegative val="0"/>
          <c:cat>
            <c:strRef>
              <c:f>Report!$A$49:$A$52</c:f>
              <c:strCache>
                <c:ptCount val="4"/>
                <c:pt idx="0">
                  <c:v>I 2020 vs I 2019</c:v>
                </c:pt>
                <c:pt idx="1">
                  <c:v>II 2020 vs II 2019</c:v>
                </c:pt>
                <c:pt idx="2">
                  <c:v>III 2020 vs III 2019</c:v>
                </c:pt>
                <c:pt idx="3">
                  <c:v>IV 2020 vs IV 2019</c:v>
                </c:pt>
              </c:strCache>
            </c:strRef>
          </c:cat>
          <c:val>
            <c:numRef>
              <c:f>Report!$B$49:$B$52</c:f>
              <c:numCache>
                <c:formatCode>General</c:formatCode>
                <c:ptCount val="4"/>
                <c:pt idx="0">
                  <c:v>-1259.0</c:v>
                </c:pt>
                <c:pt idx="1">
                  <c:v>-2279.0</c:v>
                </c:pt>
                <c:pt idx="2">
                  <c:v>-136.0</c:v>
                </c:pt>
                <c:pt idx="3">
                  <c:v>-451.0</c:v>
                </c:pt>
              </c:numCache>
            </c:numRef>
          </c:val>
        </c:ser>
        <c:ser>
          <c:idx val="1"/>
          <c:order val="1"/>
          <c:tx>
            <c:strRef>
              <c:f>Report!$C$48</c:f>
              <c:strCache>
                <c:ptCount val="1"/>
                <c:pt idx="0">
                  <c:v>Cessazioni</c:v>
                </c:pt>
              </c:strCache>
            </c:strRef>
          </c:tx>
          <c:invertIfNegative val="0"/>
          <c:cat>
            <c:strRef>
              <c:f>Report!$A$49:$A$52</c:f>
              <c:strCache>
                <c:ptCount val="4"/>
                <c:pt idx="0">
                  <c:v>I 2020 vs I 2019</c:v>
                </c:pt>
                <c:pt idx="1">
                  <c:v>II 2020 vs II 2019</c:v>
                </c:pt>
                <c:pt idx="2">
                  <c:v>III 2020 vs III 2019</c:v>
                </c:pt>
                <c:pt idx="3">
                  <c:v>IV 2020 vs IV 2019</c:v>
                </c:pt>
              </c:strCache>
            </c:strRef>
          </c:cat>
          <c:val>
            <c:numRef>
              <c:f>Report!$C$49:$C$52</c:f>
              <c:numCache>
                <c:formatCode>General</c:formatCode>
                <c:ptCount val="4"/>
                <c:pt idx="0">
                  <c:v>-1404.0</c:v>
                </c:pt>
                <c:pt idx="1">
                  <c:v>-3309.0</c:v>
                </c:pt>
                <c:pt idx="2">
                  <c:v>-367.0</c:v>
                </c:pt>
                <c:pt idx="3">
                  <c:v>-266.0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8833192"/>
        <c:axId val="2071156456"/>
      </c:barChart>
      <c:catAx>
        <c:axId val="-2088833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071156456"/>
        <c:crosses val="autoZero"/>
        <c:auto val="1"/>
        <c:lblAlgn val="ctr"/>
        <c:lblOffset val="100"/>
        <c:noMultiLvlLbl val="0"/>
      </c:catAx>
      <c:valAx>
        <c:axId val="20711564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it-IT"/>
          </a:p>
        </c:txPr>
        <c:crossAx val="-20888331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it-IT"/>
          </a:p>
        </c:txPr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BF8FF-DF11-A141-83FD-0C4BB87C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3088</Words>
  <Characters>17602</Characters>
  <Application>Microsoft Macintosh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c.a.</dc:creator>
  <cp:lastModifiedBy>Mac</cp:lastModifiedBy>
  <cp:revision>2</cp:revision>
  <cp:lastPrinted>2021-01-25T12:29:00Z</cp:lastPrinted>
  <dcterms:created xsi:type="dcterms:W3CDTF">2021-01-25T23:01:00Z</dcterms:created>
  <dcterms:modified xsi:type="dcterms:W3CDTF">2021-01-25T23:01:00Z</dcterms:modified>
</cp:coreProperties>
</file>